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CD1B" w14:textId="77777777" w:rsidR="00571310" w:rsidRPr="00956DAF" w:rsidRDefault="00571310" w:rsidP="001C6DBF">
      <w:pPr>
        <w:widowControl w:val="0"/>
        <w:spacing w:line="240" w:lineRule="auto"/>
        <w:rPr>
          <w:b/>
        </w:rPr>
      </w:pPr>
      <w:r w:rsidRPr="00956DAF">
        <w:rPr>
          <w:b/>
        </w:rPr>
        <w:t>UNITED STATES DISTRICT COURT</w:t>
      </w:r>
    </w:p>
    <w:p w14:paraId="3FB26CA9" w14:textId="0460E2D4" w:rsidR="00571310" w:rsidRPr="00956DAF" w:rsidRDefault="00CA0C8D" w:rsidP="001C6DBF">
      <w:pPr>
        <w:widowControl w:val="0"/>
        <w:spacing w:line="240" w:lineRule="auto"/>
        <w:rPr>
          <w:b/>
        </w:rPr>
      </w:pPr>
      <w:r>
        <w:rPr>
          <w:b/>
        </w:rPr>
        <w:t>EASTERN</w:t>
      </w:r>
      <w:r w:rsidR="00571310" w:rsidRPr="00956DAF">
        <w:rPr>
          <w:b/>
        </w:rPr>
        <w:t xml:space="preserve"> DISTRICT OF NEW YORK</w:t>
      </w:r>
    </w:p>
    <w:p w14:paraId="720AC4C3" w14:textId="77777777" w:rsidR="00571310" w:rsidRPr="00956DAF" w:rsidRDefault="00571310" w:rsidP="00571310">
      <w:pPr>
        <w:widowControl w:val="0"/>
        <w:spacing w:line="240" w:lineRule="auto"/>
        <w:jc w:val="center"/>
        <w:rPr>
          <w:b/>
        </w:rPr>
      </w:pPr>
    </w:p>
    <w:tbl>
      <w:tblPr>
        <w:tblStyle w:val="TableGrid"/>
        <w:tblW w:w="0" w:type="auto"/>
        <w:tblInd w:w="-90" w:type="dxa"/>
        <w:tblLook w:val="04A0" w:firstRow="1" w:lastRow="0" w:firstColumn="1" w:lastColumn="0" w:noHBand="0" w:noVBand="1"/>
      </w:tblPr>
      <w:tblGrid>
        <w:gridCol w:w="5130"/>
        <w:gridCol w:w="4310"/>
      </w:tblGrid>
      <w:tr w:rsidR="00571310" w:rsidRPr="00956DAF" w14:paraId="26F73531" w14:textId="77777777" w:rsidTr="00582E07">
        <w:trPr>
          <w:trHeight w:val="3482"/>
        </w:trPr>
        <w:tc>
          <w:tcPr>
            <w:tcW w:w="5130" w:type="dxa"/>
            <w:tcBorders>
              <w:top w:val="single" w:sz="4" w:space="0" w:color="auto"/>
              <w:left w:val="nil"/>
              <w:bottom w:val="single" w:sz="4" w:space="0" w:color="auto"/>
              <w:right w:val="single" w:sz="4" w:space="0" w:color="auto"/>
            </w:tcBorders>
          </w:tcPr>
          <w:p w14:paraId="222B5AC3" w14:textId="77777777" w:rsidR="00571310" w:rsidRPr="00AC2F85" w:rsidRDefault="00571310" w:rsidP="007D236D">
            <w:pPr>
              <w:widowControl w:val="0"/>
              <w:rPr>
                <w:rFonts w:ascii="Times New Roman" w:eastAsia="Calibri" w:hAnsi="Times New Roman"/>
                <w:caps/>
                <w:sz w:val="24"/>
                <w:szCs w:val="24"/>
              </w:rPr>
            </w:pPr>
          </w:p>
          <w:p w14:paraId="3FE91E69" w14:textId="6FBEAF9E" w:rsidR="00AC2F85" w:rsidRPr="007F2C3F" w:rsidRDefault="00217038" w:rsidP="00AC2F85">
            <w:pPr>
              <w:spacing w:line="280" w:lineRule="exact"/>
              <w:contextualSpacing/>
              <w:rPr>
                <w:rFonts w:asciiTheme="majorBidi" w:hAnsiTheme="majorBidi" w:cstheme="majorBidi"/>
                <w:sz w:val="24"/>
                <w:szCs w:val="24"/>
                <w:lang w:bidi="he-IL"/>
              </w:rPr>
            </w:pPr>
            <w:r w:rsidRPr="007F2C3F">
              <w:rPr>
                <w:rFonts w:asciiTheme="majorBidi" w:hAnsiTheme="majorBidi" w:cstheme="majorBidi"/>
                <w:sz w:val="24"/>
                <w:szCs w:val="24"/>
                <w:lang w:val="en" w:bidi="he-IL"/>
              </w:rPr>
              <w:t>MONIQUE BELL</w:t>
            </w:r>
            <w:r w:rsidR="00AC2F85" w:rsidRPr="007F2C3F">
              <w:rPr>
                <w:rFonts w:asciiTheme="majorBidi" w:hAnsiTheme="majorBidi" w:cstheme="majorBidi"/>
                <w:sz w:val="24"/>
                <w:szCs w:val="24"/>
                <w:lang w:val="en" w:bidi="he-IL"/>
              </w:rPr>
              <w:t xml:space="preserve">, </w:t>
            </w:r>
            <w:r w:rsidRPr="007F2C3F">
              <w:rPr>
                <w:rFonts w:asciiTheme="majorBidi" w:hAnsiTheme="majorBidi" w:cstheme="majorBidi"/>
                <w:sz w:val="24"/>
                <w:szCs w:val="24"/>
                <w:lang w:val="en" w:bidi="he-IL"/>
              </w:rPr>
              <w:t>TREE ANDERSON</w:t>
            </w:r>
            <w:r w:rsidR="00AC2F85" w:rsidRPr="007F2C3F">
              <w:rPr>
                <w:rFonts w:asciiTheme="majorBidi" w:hAnsiTheme="majorBidi" w:cstheme="majorBidi"/>
                <w:sz w:val="24"/>
                <w:szCs w:val="24"/>
                <w:lang w:val="en" w:bidi="he-IL"/>
              </w:rPr>
              <w:t xml:space="preserve">, and </w:t>
            </w:r>
            <w:r w:rsidRPr="007F2C3F">
              <w:rPr>
                <w:rFonts w:asciiTheme="majorBidi" w:hAnsiTheme="majorBidi" w:cstheme="majorBidi"/>
                <w:sz w:val="24"/>
                <w:szCs w:val="24"/>
                <w:lang w:val="en" w:bidi="he-IL"/>
              </w:rPr>
              <w:t>MELISSA CONKLIN</w:t>
            </w:r>
            <w:r w:rsidR="00AC2F85" w:rsidRPr="007F2C3F">
              <w:rPr>
                <w:rFonts w:asciiTheme="majorBidi" w:hAnsiTheme="majorBidi" w:cstheme="majorBidi"/>
                <w:sz w:val="24"/>
                <w:szCs w:val="24"/>
                <w:lang w:val="en" w:bidi="he-IL"/>
              </w:rPr>
              <w:t>, individually and on behalf of</w:t>
            </w:r>
            <w:r w:rsidR="007F2C3F">
              <w:rPr>
                <w:rFonts w:asciiTheme="majorBidi" w:hAnsiTheme="majorBidi" w:cstheme="majorBidi"/>
                <w:sz w:val="24"/>
                <w:szCs w:val="24"/>
                <w:lang w:val="en" w:bidi="he-IL"/>
              </w:rPr>
              <w:t xml:space="preserve"> </w:t>
            </w:r>
            <w:r w:rsidR="00AC2F85" w:rsidRPr="007F2C3F">
              <w:rPr>
                <w:rFonts w:asciiTheme="majorBidi" w:hAnsiTheme="majorBidi" w:cstheme="majorBidi"/>
                <w:sz w:val="24"/>
                <w:szCs w:val="24"/>
                <w:lang w:val="en" w:bidi="he-IL"/>
              </w:rPr>
              <w:t>all others similarly situated</w:t>
            </w:r>
            <w:r w:rsidR="00AC2F85" w:rsidRPr="007F2C3F">
              <w:rPr>
                <w:rFonts w:asciiTheme="majorBidi" w:hAnsiTheme="majorBidi" w:cstheme="majorBidi"/>
                <w:sz w:val="24"/>
                <w:szCs w:val="24"/>
                <w:lang w:bidi="he-IL"/>
              </w:rPr>
              <w:t>,</w:t>
            </w:r>
          </w:p>
          <w:p w14:paraId="6D407FBA" w14:textId="77777777" w:rsidR="00AC2F85" w:rsidRPr="007F2C3F" w:rsidRDefault="00AC2F85" w:rsidP="00AC2F85">
            <w:pPr>
              <w:contextualSpacing/>
              <w:rPr>
                <w:rFonts w:asciiTheme="majorBidi" w:hAnsiTheme="majorBidi" w:cstheme="majorBidi"/>
                <w:sz w:val="24"/>
                <w:szCs w:val="24"/>
                <w:lang w:bidi="he-IL"/>
              </w:rPr>
            </w:pPr>
          </w:p>
          <w:p w14:paraId="5E70FDC0" w14:textId="7EE603C8" w:rsidR="00AC2F85" w:rsidRPr="007F2C3F" w:rsidRDefault="00AC2F85" w:rsidP="00AC2F85">
            <w:pPr>
              <w:spacing w:line="280" w:lineRule="exact"/>
              <w:ind w:left="2880"/>
              <w:contextualSpacing/>
              <w:rPr>
                <w:rFonts w:asciiTheme="majorBidi" w:hAnsiTheme="majorBidi" w:cstheme="majorBidi"/>
                <w:sz w:val="24"/>
                <w:szCs w:val="24"/>
                <w:lang w:bidi="he-IL"/>
              </w:rPr>
            </w:pPr>
            <w:r w:rsidRPr="007F2C3F">
              <w:rPr>
                <w:rFonts w:asciiTheme="majorBidi" w:hAnsiTheme="majorBidi" w:cstheme="majorBidi"/>
                <w:sz w:val="24"/>
                <w:szCs w:val="24"/>
                <w:lang w:bidi="he-IL"/>
              </w:rPr>
              <w:t xml:space="preserve">        Plaintiffs,</w:t>
            </w:r>
          </w:p>
          <w:p w14:paraId="223B6413" w14:textId="77777777" w:rsidR="00582E07" w:rsidRPr="007F2C3F" w:rsidRDefault="00582E07" w:rsidP="00582E07">
            <w:pPr>
              <w:contextualSpacing/>
              <w:rPr>
                <w:rFonts w:asciiTheme="majorBidi" w:hAnsiTheme="majorBidi" w:cstheme="majorBidi"/>
                <w:sz w:val="24"/>
                <w:szCs w:val="24"/>
              </w:rPr>
            </w:pPr>
          </w:p>
          <w:p w14:paraId="5B7AFFFF" w14:textId="77777777" w:rsidR="00582E07" w:rsidRPr="007F2C3F" w:rsidRDefault="00582E07" w:rsidP="00582E07">
            <w:pPr>
              <w:contextualSpacing/>
              <w:rPr>
                <w:rFonts w:asciiTheme="majorBidi" w:hAnsiTheme="majorBidi" w:cstheme="majorBidi"/>
                <w:sz w:val="24"/>
                <w:szCs w:val="24"/>
              </w:rPr>
            </w:pPr>
            <w:r w:rsidRPr="007F2C3F">
              <w:rPr>
                <w:rFonts w:asciiTheme="majorBidi" w:hAnsiTheme="majorBidi" w:cstheme="majorBidi"/>
                <w:sz w:val="24"/>
                <w:szCs w:val="24"/>
              </w:rPr>
              <w:tab/>
              <w:t>v.</w:t>
            </w:r>
          </w:p>
          <w:p w14:paraId="18BBC456" w14:textId="77777777" w:rsidR="00582E07" w:rsidRPr="007F2C3F" w:rsidRDefault="00582E07" w:rsidP="00582E07">
            <w:pPr>
              <w:contextualSpacing/>
              <w:rPr>
                <w:rFonts w:asciiTheme="majorBidi" w:hAnsiTheme="majorBidi" w:cstheme="majorBidi"/>
                <w:sz w:val="24"/>
                <w:szCs w:val="24"/>
              </w:rPr>
            </w:pPr>
          </w:p>
          <w:p w14:paraId="0A9E9B11" w14:textId="613DCBAC" w:rsidR="00582E07" w:rsidRPr="007F2C3F" w:rsidRDefault="00217038" w:rsidP="00582E07">
            <w:pPr>
              <w:contextualSpacing/>
              <w:rPr>
                <w:rFonts w:asciiTheme="majorBidi" w:hAnsiTheme="majorBidi" w:cstheme="majorBidi"/>
                <w:sz w:val="24"/>
                <w:szCs w:val="24"/>
              </w:rPr>
            </w:pPr>
            <w:bookmarkStart w:id="0" w:name="de"/>
            <w:bookmarkEnd w:id="0"/>
            <w:r w:rsidRPr="007F2C3F">
              <w:rPr>
                <w:rFonts w:asciiTheme="majorBidi" w:hAnsiTheme="majorBidi" w:cstheme="majorBidi"/>
                <w:sz w:val="24"/>
                <w:szCs w:val="24"/>
              </w:rPr>
              <w:t>CVS PHARMACY, INC</w:t>
            </w:r>
            <w:r w:rsidR="00CA0C8D" w:rsidRPr="007F2C3F">
              <w:rPr>
                <w:rFonts w:asciiTheme="majorBidi" w:hAnsiTheme="majorBidi" w:cstheme="majorBidi"/>
                <w:sz w:val="24"/>
                <w:szCs w:val="24"/>
              </w:rPr>
              <w:t>.,</w:t>
            </w:r>
          </w:p>
          <w:p w14:paraId="094F3E10" w14:textId="77777777" w:rsidR="00CA0C8D" w:rsidRPr="007F2C3F" w:rsidRDefault="00CA0C8D" w:rsidP="00582E07">
            <w:pPr>
              <w:contextualSpacing/>
              <w:rPr>
                <w:rFonts w:asciiTheme="majorBidi" w:hAnsiTheme="majorBidi" w:cstheme="majorBidi"/>
                <w:sz w:val="24"/>
                <w:szCs w:val="24"/>
              </w:rPr>
            </w:pPr>
          </w:p>
          <w:p w14:paraId="1186C640" w14:textId="0B12B008" w:rsidR="00571310" w:rsidRPr="00AC2F85" w:rsidRDefault="00582E07" w:rsidP="002548A2">
            <w:pPr>
              <w:widowControl w:val="0"/>
              <w:jc w:val="center"/>
              <w:rPr>
                <w:rFonts w:ascii="Times New Roman" w:hAnsi="Times New Roman"/>
                <w:sz w:val="24"/>
                <w:szCs w:val="24"/>
              </w:rPr>
            </w:pPr>
            <w:bookmarkStart w:id="1" w:name="de2"/>
            <w:bookmarkEnd w:id="1"/>
            <w:r w:rsidRPr="007F2C3F">
              <w:rPr>
                <w:rFonts w:asciiTheme="majorBidi" w:hAnsiTheme="majorBidi" w:cstheme="majorBidi"/>
                <w:sz w:val="24"/>
                <w:szCs w:val="24"/>
              </w:rPr>
              <w:t xml:space="preserve">                                                Defendant.</w:t>
            </w:r>
          </w:p>
        </w:tc>
        <w:tc>
          <w:tcPr>
            <w:tcW w:w="4310" w:type="dxa"/>
            <w:tcBorders>
              <w:top w:val="nil"/>
              <w:left w:val="single" w:sz="4" w:space="0" w:color="auto"/>
              <w:bottom w:val="nil"/>
              <w:right w:val="nil"/>
            </w:tcBorders>
          </w:tcPr>
          <w:p w14:paraId="7A703A12" w14:textId="77777777" w:rsidR="00571310" w:rsidRPr="00956DAF" w:rsidRDefault="00571310" w:rsidP="007D236D">
            <w:pPr>
              <w:widowControl w:val="0"/>
              <w:rPr>
                <w:rFonts w:ascii="Times New Roman" w:hAnsi="Times New Roman"/>
                <w:sz w:val="24"/>
                <w:szCs w:val="24"/>
              </w:rPr>
            </w:pPr>
          </w:p>
          <w:p w14:paraId="1B5B4AE3" w14:textId="61925749" w:rsidR="00571310" w:rsidRPr="007F2C3F" w:rsidRDefault="00CA0C8D" w:rsidP="007D236D">
            <w:pPr>
              <w:widowControl w:val="0"/>
              <w:rPr>
                <w:rFonts w:ascii="Times New Roman" w:hAnsi="Times New Roman"/>
                <w:sz w:val="24"/>
                <w:szCs w:val="24"/>
              </w:rPr>
            </w:pPr>
            <w:r w:rsidRPr="007F2C3F">
              <w:rPr>
                <w:rFonts w:ascii="Times New Roman" w:hAnsi="Times New Roman"/>
                <w:sz w:val="24"/>
                <w:szCs w:val="24"/>
              </w:rPr>
              <w:t>Case No. 1:21-cv-06850-PK</w:t>
            </w:r>
          </w:p>
          <w:p w14:paraId="736DA1C4" w14:textId="4FE3E0FA" w:rsidR="00CA0C8D" w:rsidRPr="007F2C3F" w:rsidRDefault="00CA0C8D" w:rsidP="007D236D">
            <w:pPr>
              <w:widowControl w:val="0"/>
              <w:rPr>
                <w:rFonts w:ascii="Times New Roman" w:hAnsi="Times New Roman"/>
                <w:sz w:val="24"/>
                <w:szCs w:val="24"/>
              </w:rPr>
            </w:pPr>
          </w:p>
          <w:p w14:paraId="743AAB90" w14:textId="09D49DDD" w:rsidR="00CA0C8D" w:rsidRPr="007F2C3F" w:rsidRDefault="00CA0C8D" w:rsidP="007D236D">
            <w:pPr>
              <w:widowControl w:val="0"/>
              <w:rPr>
                <w:rFonts w:ascii="Times New Roman" w:hAnsi="Times New Roman"/>
                <w:sz w:val="24"/>
                <w:szCs w:val="24"/>
              </w:rPr>
            </w:pPr>
          </w:p>
          <w:p w14:paraId="3CB8E627" w14:textId="0A6F8F67" w:rsidR="00CA0C8D" w:rsidRPr="007F2C3F" w:rsidRDefault="00AC2F85" w:rsidP="007D236D">
            <w:pPr>
              <w:widowControl w:val="0"/>
              <w:rPr>
                <w:rFonts w:ascii="Times New Roman" w:hAnsi="Times New Roman"/>
                <w:sz w:val="24"/>
                <w:szCs w:val="24"/>
              </w:rPr>
            </w:pPr>
            <w:r w:rsidRPr="007F2C3F">
              <w:rPr>
                <w:rFonts w:ascii="Times New Roman" w:hAnsi="Times New Roman"/>
                <w:sz w:val="24"/>
                <w:szCs w:val="24"/>
              </w:rPr>
              <w:t xml:space="preserve">Hon. </w:t>
            </w:r>
            <w:r w:rsidR="00CA0C8D" w:rsidRPr="007F2C3F">
              <w:rPr>
                <w:rFonts w:ascii="Times New Roman" w:hAnsi="Times New Roman"/>
                <w:sz w:val="24"/>
                <w:szCs w:val="24"/>
              </w:rPr>
              <w:t xml:space="preserve">Peggy </w:t>
            </w:r>
            <w:proofErr w:type="spellStart"/>
            <w:r w:rsidR="00CA0C8D" w:rsidRPr="007F2C3F">
              <w:rPr>
                <w:rFonts w:ascii="Times New Roman" w:hAnsi="Times New Roman"/>
                <w:sz w:val="24"/>
                <w:szCs w:val="24"/>
              </w:rPr>
              <w:t>Kuo</w:t>
            </w:r>
            <w:proofErr w:type="spellEnd"/>
          </w:p>
          <w:p w14:paraId="18549932" w14:textId="77777777" w:rsidR="00571310" w:rsidRPr="00956DAF" w:rsidRDefault="00571310" w:rsidP="007D236D">
            <w:pPr>
              <w:widowControl w:val="0"/>
              <w:rPr>
                <w:rFonts w:ascii="Times New Roman" w:hAnsi="Times New Roman"/>
                <w:sz w:val="24"/>
                <w:szCs w:val="24"/>
              </w:rPr>
            </w:pPr>
          </w:p>
          <w:p w14:paraId="0085C585" w14:textId="77777777" w:rsidR="00571310" w:rsidRPr="00956DAF" w:rsidRDefault="00571310" w:rsidP="007D236D">
            <w:pPr>
              <w:widowControl w:val="0"/>
              <w:rPr>
                <w:rFonts w:ascii="Times New Roman" w:hAnsi="Times New Roman"/>
                <w:sz w:val="24"/>
                <w:szCs w:val="24"/>
              </w:rPr>
            </w:pPr>
            <w:r w:rsidRPr="00956DAF">
              <w:rPr>
                <w:rFonts w:ascii="Times New Roman" w:hAnsi="Times New Roman"/>
                <w:sz w:val="24"/>
                <w:szCs w:val="24"/>
              </w:rPr>
              <w:t xml:space="preserve"> </w:t>
            </w:r>
          </w:p>
        </w:tc>
      </w:tr>
    </w:tbl>
    <w:p w14:paraId="716E8FC4" w14:textId="0826F436" w:rsidR="007A73FF" w:rsidRPr="00956DAF" w:rsidRDefault="007A73FF">
      <w:pPr>
        <w:jc w:val="center"/>
        <w:outlineLvl w:val="0"/>
        <w:rPr>
          <w:b/>
          <w:bCs/>
        </w:rPr>
      </w:pPr>
    </w:p>
    <w:p w14:paraId="398E52DB" w14:textId="77777777" w:rsidR="007A73FF" w:rsidRPr="00956DAF" w:rsidRDefault="005A3CE7">
      <w:pPr>
        <w:widowControl w:val="0"/>
        <w:spacing w:line="240" w:lineRule="auto"/>
        <w:jc w:val="center"/>
        <w:rPr>
          <w:b/>
          <w:bCs/>
        </w:rPr>
      </w:pPr>
      <w:r w:rsidRPr="00956DAF">
        <w:rPr>
          <w:b/>
          <w:bCs/>
        </w:rPr>
        <w:t>[PROPOSED]</w:t>
      </w:r>
      <w:r w:rsidR="003D3DD5" w:rsidRPr="00956DAF">
        <w:rPr>
          <w:b/>
          <w:bCs/>
        </w:rPr>
        <w:t xml:space="preserve"> </w:t>
      </w:r>
      <w:r w:rsidRPr="00956DAF">
        <w:rPr>
          <w:b/>
          <w:bCs/>
        </w:rPr>
        <w:t xml:space="preserve">ORDER GRANTING PRELIMINARY APPROVAL </w:t>
      </w:r>
    </w:p>
    <w:p w14:paraId="240D70C1" w14:textId="1E0C5B59" w:rsidR="007A73FF" w:rsidRPr="00956DAF" w:rsidRDefault="005A3CE7">
      <w:pPr>
        <w:widowControl w:val="0"/>
        <w:spacing w:line="240" w:lineRule="auto"/>
        <w:jc w:val="center"/>
        <w:rPr>
          <w:b/>
          <w:bCs/>
        </w:rPr>
      </w:pPr>
      <w:r w:rsidRPr="00956DAF">
        <w:rPr>
          <w:b/>
          <w:bCs/>
        </w:rPr>
        <w:t xml:space="preserve">OF </w:t>
      </w:r>
      <w:r w:rsidR="00CA4781" w:rsidRPr="00956DAF">
        <w:rPr>
          <w:b/>
          <w:bCs/>
        </w:rPr>
        <w:t xml:space="preserve">CLASS </w:t>
      </w:r>
      <w:r w:rsidRPr="00956DAF">
        <w:rPr>
          <w:b/>
          <w:bCs/>
        </w:rPr>
        <w:t xml:space="preserve">ACTION SETTLEMENT AGREEMENT, CERTIFYING </w:t>
      </w:r>
    </w:p>
    <w:p w14:paraId="32AB63BF" w14:textId="77777777" w:rsidR="007A73FF" w:rsidRPr="00956DAF" w:rsidRDefault="005A3CE7">
      <w:pPr>
        <w:widowControl w:val="0"/>
        <w:spacing w:line="240" w:lineRule="auto"/>
        <w:jc w:val="center"/>
        <w:rPr>
          <w:b/>
          <w:bCs/>
        </w:rPr>
      </w:pPr>
      <w:r w:rsidRPr="00956DAF">
        <w:rPr>
          <w:b/>
          <w:bCs/>
        </w:rPr>
        <w:t xml:space="preserve">SETTLEMENT CLASS, APPOINTING CLASS REPRESENTATIVE, </w:t>
      </w:r>
    </w:p>
    <w:p w14:paraId="741E62BC" w14:textId="77777777" w:rsidR="007A73FF" w:rsidRPr="00956DAF" w:rsidRDefault="005A3CE7">
      <w:pPr>
        <w:widowControl w:val="0"/>
        <w:spacing w:line="240" w:lineRule="auto"/>
        <w:jc w:val="center"/>
        <w:rPr>
          <w:b/>
          <w:bCs/>
          <w:u w:val="single"/>
        </w:rPr>
      </w:pPr>
      <w:r w:rsidRPr="00956DAF">
        <w:rPr>
          <w:b/>
          <w:bCs/>
          <w:u w:val="single"/>
        </w:rPr>
        <w:t>APPOINTING CLASS COUNSEL, AND APPROVING NOTICE PLAN</w:t>
      </w:r>
    </w:p>
    <w:p w14:paraId="4CBECA05" w14:textId="77777777" w:rsidR="007A73FF" w:rsidRPr="00956DAF" w:rsidRDefault="007A73FF">
      <w:pPr>
        <w:widowControl w:val="0"/>
        <w:spacing w:line="240" w:lineRule="auto"/>
        <w:jc w:val="center"/>
        <w:rPr>
          <w:b/>
          <w:bCs/>
          <w:u w:val="single"/>
        </w:rPr>
      </w:pPr>
    </w:p>
    <w:p w14:paraId="4EF77DB7" w14:textId="1C191C2C" w:rsidR="00415FEC" w:rsidRPr="00956DAF" w:rsidRDefault="00415FEC" w:rsidP="0085707D">
      <w:pPr>
        <w:widowControl w:val="0"/>
        <w:spacing w:line="480" w:lineRule="auto"/>
        <w:ind w:firstLine="720"/>
        <w:rPr>
          <w:bCs/>
        </w:rPr>
      </w:pPr>
      <w:r w:rsidRPr="00956DAF">
        <w:rPr>
          <w:bCs/>
        </w:rPr>
        <w:t>The Plaintiff</w:t>
      </w:r>
      <w:r w:rsidR="00AC2F85">
        <w:rPr>
          <w:bCs/>
        </w:rPr>
        <w:t>s</w:t>
      </w:r>
      <w:r w:rsidRPr="00956DAF">
        <w:rPr>
          <w:bCs/>
        </w:rPr>
        <w:t xml:space="preserve"> in this action have filed an unopposed motion for preliminary approval of a Class Action Settlement Agreement (“Settlement Agreement”)</w:t>
      </w:r>
      <w:r w:rsidR="002438AB" w:rsidRPr="00956DAF">
        <w:rPr>
          <w:bCs/>
        </w:rPr>
        <w:t>, conditional certification of the Class for settlement purposes, approval of the Plan for providing Notice to the Class, and approval of the proposed Settlement Administrator</w:t>
      </w:r>
      <w:r w:rsidRPr="00956DAF">
        <w:rPr>
          <w:bCs/>
        </w:rPr>
        <w:t>.  The Court has reviewed and considered the Settlement Agreement and the accompanying exhibits</w:t>
      </w:r>
      <w:r w:rsidR="0085707D" w:rsidRPr="00956DAF">
        <w:rPr>
          <w:bCs/>
        </w:rPr>
        <w:t xml:space="preserve">.  </w:t>
      </w:r>
    </w:p>
    <w:p w14:paraId="2612C3C5" w14:textId="77777777" w:rsidR="0085707D" w:rsidRPr="00956DAF" w:rsidRDefault="0085707D" w:rsidP="0085707D">
      <w:pPr>
        <w:pStyle w:val="BodyText"/>
        <w:spacing w:line="480" w:lineRule="auto"/>
        <w:rPr>
          <w:rFonts w:eastAsia="Times New Roman"/>
          <w:sz w:val="24"/>
          <w:szCs w:val="24"/>
        </w:rPr>
      </w:pPr>
      <w:r w:rsidRPr="00956DAF">
        <w:rPr>
          <w:rFonts w:eastAsia="Times New Roman"/>
          <w:sz w:val="24"/>
          <w:szCs w:val="24"/>
        </w:rPr>
        <w:t xml:space="preserve">IT IS HEREBY </w:t>
      </w:r>
      <w:r w:rsidRPr="00956DAF">
        <w:rPr>
          <w:rFonts w:eastAsia="Times New Roman"/>
          <w:bCs/>
          <w:sz w:val="24"/>
          <w:szCs w:val="24"/>
        </w:rPr>
        <w:t xml:space="preserve">ORDERED </w:t>
      </w:r>
      <w:r w:rsidRPr="00956DAF">
        <w:rPr>
          <w:rFonts w:eastAsia="Times New Roman"/>
          <w:sz w:val="24"/>
          <w:szCs w:val="24"/>
        </w:rPr>
        <w:t>as follows:</w:t>
      </w:r>
    </w:p>
    <w:p w14:paraId="38ED155D" w14:textId="77777777"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Defined Terms</w:t>
      </w:r>
      <w:r w:rsidRPr="00956DAF">
        <w:rPr>
          <w:rFonts w:eastAsia="PMingLiU"/>
          <w:color w:val="000000"/>
        </w:rPr>
        <w:t>.  This Order incorporates by reference the definitions in the Settlement Agreement, and all terms used in this Order shall have the same meanings as set forth in the Settlement Agreement.</w:t>
      </w:r>
    </w:p>
    <w:p w14:paraId="7A595E7C" w14:textId="051B6886"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Preliminary Approval of Settlement</w:t>
      </w:r>
      <w:r w:rsidRPr="00956DAF">
        <w:rPr>
          <w:rFonts w:eastAsia="PMingLiU"/>
          <w:color w:val="000000"/>
        </w:rPr>
        <w:t xml:space="preserve">:  The Court preliminarily approves the Settlement Agreement, and its Settlement terms, as fair, </w:t>
      </w:r>
      <w:r w:rsidR="00AD3687" w:rsidRPr="00956DAF">
        <w:rPr>
          <w:rFonts w:eastAsia="PMingLiU"/>
          <w:color w:val="000000"/>
        </w:rPr>
        <w:t>reasonable,</w:t>
      </w:r>
      <w:r w:rsidRPr="00956DAF">
        <w:rPr>
          <w:rFonts w:eastAsia="PMingLiU"/>
          <w:color w:val="000000"/>
        </w:rPr>
        <w:t xml:space="preserve"> and adequate under Rule 23, subject to further consideration at the Final Approval Hearing described below.  The Court also </w:t>
      </w:r>
      <w:r w:rsidRPr="00956DAF">
        <w:rPr>
          <w:rFonts w:eastAsia="PMingLiU"/>
          <w:color w:val="000000"/>
        </w:rPr>
        <w:lastRenderedPageBreak/>
        <w:t xml:space="preserve">preliminarily finds that the Settlement Agreement has been reached </w:t>
      </w:r>
      <w:proofErr w:type="gramStart"/>
      <w:r w:rsidRPr="00956DAF">
        <w:rPr>
          <w:rFonts w:eastAsia="PMingLiU"/>
          <w:color w:val="000000"/>
        </w:rPr>
        <w:t>as a result of</w:t>
      </w:r>
      <w:proofErr w:type="gramEnd"/>
      <w:r w:rsidRPr="00956DAF">
        <w:rPr>
          <w:rFonts w:eastAsia="PMingLiU"/>
          <w:color w:val="000000"/>
        </w:rPr>
        <w:t xml:space="preserve"> an arm’s-length negotiations of disputed claims.</w:t>
      </w:r>
    </w:p>
    <w:p w14:paraId="518AA2BF" w14:textId="69F49160"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Class Definition</w:t>
      </w:r>
      <w:r w:rsidRPr="00956DAF">
        <w:rPr>
          <w:rFonts w:eastAsia="PMingLiU"/>
          <w:color w:val="000000"/>
        </w:rPr>
        <w:t xml:space="preserve">:  Pursuant to </w:t>
      </w:r>
      <w:r w:rsidR="0001008B" w:rsidRPr="00956DAF">
        <w:rPr>
          <w:rFonts w:eastAsia="PMingLiU"/>
          <w:color w:val="000000"/>
        </w:rPr>
        <w:t>Fed. R. Civ. P.</w:t>
      </w:r>
      <w:r w:rsidRPr="00956DAF">
        <w:rPr>
          <w:rFonts w:eastAsia="PMingLiU"/>
          <w:color w:val="000000"/>
        </w:rPr>
        <w:t xml:space="preserve"> 23, the Court preliminarily certifies, solely for purposes of effectuating the Settlement Agreement, the following Settlement Class: </w:t>
      </w:r>
      <w:r w:rsidR="00017FDA" w:rsidRPr="00956DAF">
        <w:rPr>
          <w:rFonts w:eastAsia="PMingLiU"/>
          <w:color w:val="000000"/>
        </w:rPr>
        <w:t xml:space="preserve"> </w:t>
      </w:r>
    </w:p>
    <w:p w14:paraId="7457EB5A" w14:textId="4CF9EC3D" w:rsidR="00017FDA" w:rsidRPr="000125AC" w:rsidRDefault="000125AC" w:rsidP="00C43C22">
      <w:pPr>
        <w:pStyle w:val="ListParagraph"/>
        <w:spacing w:after="240" w:line="240" w:lineRule="auto"/>
        <w:ind w:right="1440"/>
        <w:textAlignment w:val="baseline"/>
        <w:outlineLvl w:val="1"/>
        <w:rPr>
          <w:color w:val="000000"/>
        </w:rPr>
      </w:pPr>
      <w:r>
        <w:rPr>
          <w:color w:val="000000"/>
        </w:rPr>
        <w:t>A</w:t>
      </w:r>
      <w:r w:rsidRPr="000125AC">
        <w:rPr>
          <w:color w:val="000000"/>
        </w:rPr>
        <w:t xml:space="preserve">ll persons who purchased CVS-branded “maximum strength” lidocaine patches, creams, and spray products in the United States during the Class Period. </w:t>
      </w:r>
      <w:r>
        <w:rPr>
          <w:color w:val="000000"/>
        </w:rPr>
        <w:t xml:space="preserve"> </w:t>
      </w:r>
      <w:r w:rsidRPr="000125AC">
        <w:rPr>
          <w:color w:val="000000"/>
        </w:rPr>
        <w:t>Excluded from the Settlement Class are: (a) all persons who purchased or acquired the Products for resale; (b) Defendant and its employees, principals, affiliated entities, legal representatives, successors and assigns; (c) any person who makes a valid, timely opt-out request; (d) federal, state, and local governments (including all agencies and subdivisions thereof, but excluding employees thereof), and (e) the judges to whom this Action is assigned and any members of their immediate families.</w:t>
      </w:r>
    </w:p>
    <w:p w14:paraId="4E926236" w14:textId="0ACFEBF2"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Class Representatives and Class Counsel</w:t>
      </w:r>
      <w:r w:rsidRPr="00956DAF">
        <w:rPr>
          <w:rFonts w:eastAsia="PMingLiU"/>
          <w:color w:val="000000"/>
        </w:rPr>
        <w:t>:  The Court preliminarily appoints</w:t>
      </w:r>
      <w:r w:rsidR="001A0089" w:rsidRPr="00956DAF">
        <w:rPr>
          <w:rFonts w:eastAsia="PMingLiU"/>
          <w:color w:val="000000"/>
        </w:rPr>
        <w:t xml:space="preserve"> the</w:t>
      </w:r>
      <w:r w:rsidRPr="00956DAF">
        <w:rPr>
          <w:rFonts w:eastAsia="PMingLiU"/>
          <w:color w:val="000000"/>
        </w:rPr>
        <w:t xml:space="preserve"> </w:t>
      </w:r>
      <w:r w:rsidR="00017FDA" w:rsidRPr="00956DAF">
        <w:t xml:space="preserve">law firm of </w:t>
      </w:r>
      <w:proofErr w:type="spellStart"/>
      <w:r w:rsidR="00017FDA" w:rsidRPr="00956DAF">
        <w:t>Bursor</w:t>
      </w:r>
      <w:proofErr w:type="spellEnd"/>
      <w:r w:rsidR="00017FDA" w:rsidRPr="00956DAF">
        <w:t xml:space="preserve"> &amp; Fisher, P.A</w:t>
      </w:r>
      <w:r w:rsidR="00017FDA" w:rsidRPr="00956DAF">
        <w:rPr>
          <w:rFonts w:eastAsia="PMingLiU"/>
          <w:color w:val="000000"/>
        </w:rPr>
        <w:t>.</w:t>
      </w:r>
      <w:r w:rsidR="00CA0C8D">
        <w:rPr>
          <w:rFonts w:eastAsia="PMingLiU"/>
          <w:color w:val="000000"/>
        </w:rPr>
        <w:t xml:space="preserve"> and </w:t>
      </w:r>
      <w:proofErr w:type="spellStart"/>
      <w:r w:rsidR="00CA0C8D" w:rsidRPr="00CA0C8D">
        <w:rPr>
          <w:rFonts w:eastAsia="PMingLiU"/>
          <w:color w:val="000000"/>
        </w:rPr>
        <w:t>Gucovschi</w:t>
      </w:r>
      <w:proofErr w:type="spellEnd"/>
      <w:r w:rsidR="00CA0C8D" w:rsidRPr="00CA0C8D">
        <w:rPr>
          <w:rFonts w:eastAsia="PMingLiU"/>
          <w:color w:val="000000"/>
        </w:rPr>
        <w:t xml:space="preserve"> </w:t>
      </w:r>
      <w:proofErr w:type="spellStart"/>
      <w:r w:rsidR="00CA0C8D" w:rsidRPr="00CA0C8D">
        <w:rPr>
          <w:rFonts w:eastAsia="PMingLiU"/>
          <w:color w:val="000000"/>
        </w:rPr>
        <w:t>Rozenshteyn</w:t>
      </w:r>
      <w:proofErr w:type="spellEnd"/>
      <w:r w:rsidR="00CA0C8D" w:rsidRPr="00CA0C8D">
        <w:rPr>
          <w:rFonts w:eastAsia="PMingLiU"/>
          <w:color w:val="000000"/>
        </w:rPr>
        <w:t>, PLLC</w:t>
      </w:r>
      <w:r w:rsidR="00017FDA" w:rsidRPr="00956DAF">
        <w:rPr>
          <w:rFonts w:eastAsia="PMingLiU"/>
          <w:color w:val="000000"/>
        </w:rPr>
        <w:t xml:space="preserve"> as </w:t>
      </w:r>
      <w:r w:rsidRPr="00956DAF">
        <w:rPr>
          <w:rFonts w:eastAsia="PMingLiU"/>
          <w:color w:val="000000"/>
        </w:rPr>
        <w:t xml:space="preserve">Class Counsel for the Settlement Class.  The Court preliminarily appoints </w:t>
      </w:r>
      <w:r w:rsidR="00CA0C8D" w:rsidRPr="00CA0C8D">
        <w:t>Monique Bell, Tree Anderson, and Melissa Conklin</w:t>
      </w:r>
      <w:r w:rsidR="00CA0C8D">
        <w:t xml:space="preserve"> </w:t>
      </w:r>
      <w:r w:rsidR="00017FDA" w:rsidRPr="00956DAF">
        <w:rPr>
          <w:rFonts w:eastAsia="PMingLiU"/>
          <w:color w:val="000000"/>
        </w:rPr>
        <w:t>as</w:t>
      </w:r>
      <w:r w:rsidRPr="00956DAF">
        <w:rPr>
          <w:rFonts w:eastAsia="PMingLiU"/>
          <w:color w:val="000000"/>
        </w:rPr>
        <w:t xml:space="preserve"> Class Representatives. </w:t>
      </w:r>
    </w:p>
    <w:p w14:paraId="60CE8FE0" w14:textId="77777777"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Preliminary Class Certification for Settlement Purposes Only</w:t>
      </w:r>
      <w:r w:rsidRPr="00956DAF">
        <w:rPr>
          <w:rFonts w:eastAsia="PMingLiU"/>
          <w:color w:val="000000"/>
        </w:rPr>
        <w:t xml:space="preserve">:  The Court preliminarily finds, solely for purposes of the Settlement, that the Rule 23 criteria for certification of the Settlement Class exists in that: (a) the Settlement Class is so numerous that joinder of all Settlement Class Members in the Action is impracticable; (b) there are questions of law and fact common to the Settlement Class that predominate over any individual questions; (c) the claims of the Settlement Class Representatives are typical of the claims of the Settlement Class; (d) the Settlement Class Representatives and Settlement Class Counsel have and will continue to fairly and adequately represent and protect the interests of the Settlement Class; and (e) a class action is superior to all other available methods for the fair and efficient adjudication of the controversy.  </w:t>
      </w:r>
    </w:p>
    <w:p w14:paraId="6F72718B" w14:textId="22918E10"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rPr>
        <w:lastRenderedPageBreak/>
        <w:t xml:space="preserve">In addition, the Court finds that preliminary certification of the Settlement Class is appropriate when balanced against the risks and delays of further litigation. </w:t>
      </w:r>
      <w:r w:rsidR="001A0089" w:rsidRPr="00956DAF">
        <w:rPr>
          <w:rFonts w:eastAsia="PMingLiU"/>
          <w:color w:val="000000"/>
        </w:rPr>
        <w:t xml:space="preserve"> </w:t>
      </w:r>
    </w:p>
    <w:p w14:paraId="147AD44A" w14:textId="69A94B38"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t>Class Notice</w:t>
      </w:r>
      <w:r w:rsidRPr="00956DAF">
        <w:rPr>
          <w:rFonts w:eastAsia="PMingLiU"/>
          <w:color w:val="000000"/>
        </w:rPr>
        <w:t xml:space="preserve">:  The Court approves the form and content of the proposed Long Form Notice and </w:t>
      </w:r>
      <w:r w:rsidR="009A1587">
        <w:rPr>
          <w:rFonts w:eastAsia="PMingLiU"/>
          <w:color w:val="000000"/>
        </w:rPr>
        <w:t>Short Form</w:t>
      </w:r>
      <w:r w:rsidRPr="00956DAF">
        <w:rPr>
          <w:rFonts w:eastAsia="PMingLiU"/>
          <w:color w:val="000000"/>
        </w:rPr>
        <w:t xml:space="preserve"> Notice (Exhibits </w:t>
      </w:r>
      <w:r w:rsidR="009A1587">
        <w:rPr>
          <w:rFonts w:eastAsia="PMingLiU"/>
          <w:color w:val="000000"/>
        </w:rPr>
        <w:t>B</w:t>
      </w:r>
      <w:r w:rsidRPr="00956DAF">
        <w:rPr>
          <w:rFonts w:eastAsia="PMingLiU"/>
          <w:color w:val="000000"/>
        </w:rPr>
        <w:t xml:space="preserve"> and </w:t>
      </w:r>
      <w:r w:rsidR="009A1587">
        <w:rPr>
          <w:rFonts w:eastAsia="PMingLiU"/>
          <w:color w:val="000000"/>
        </w:rPr>
        <w:t>C</w:t>
      </w:r>
      <w:r w:rsidR="000125AC">
        <w:rPr>
          <w:rFonts w:eastAsia="PMingLiU"/>
          <w:color w:val="000000"/>
        </w:rPr>
        <w:t>-1</w:t>
      </w:r>
      <w:r w:rsidRPr="00956DAF">
        <w:rPr>
          <w:rFonts w:eastAsia="PMingLiU"/>
          <w:color w:val="000000"/>
        </w:rPr>
        <w:t xml:space="preserve"> to the Settlement Agreement) and Claim Form (Exhibit </w:t>
      </w:r>
      <w:r w:rsidR="009A1587">
        <w:rPr>
          <w:rFonts w:eastAsia="PMingLiU"/>
          <w:color w:val="000000"/>
        </w:rPr>
        <w:t>A</w:t>
      </w:r>
      <w:r w:rsidRPr="00956DAF">
        <w:rPr>
          <w:rFonts w:eastAsia="PMingLiU"/>
          <w:color w:val="000000"/>
        </w:rPr>
        <w:t xml:space="preserve"> to the Settlement Agreement). </w:t>
      </w:r>
      <w:r w:rsidR="00915583">
        <w:rPr>
          <w:rFonts w:eastAsia="PMingLiU"/>
          <w:color w:val="000000"/>
        </w:rPr>
        <w:t xml:space="preserve"> </w:t>
      </w:r>
      <w:r w:rsidRPr="00956DAF">
        <w:rPr>
          <w:rFonts w:eastAsia="PMingLiU"/>
          <w:color w:val="000000"/>
        </w:rPr>
        <w:t>The Court further finds that the method of dissemination of the Settlement Class Notice, in the manner set forth in the Settlement Agreement, as well as the establishment of a settlement website, satisfy Rule 23, due process, and constitutes the best notice practicable under the circumstances.  The Notice Plan set forth in the Settlement Agreement is reasonably calculated to apprise the Settlement Class of the pendency of the Action, the class certification for settlement purposes only, the terms of the Settlement and benefits afforded, the Settlement Class Members’ rights including the right to opt-out of or object to the Settlement and the deadlines and procedures for doing so, the deadline, procedures and requirements for submitting a Claim for Reimbursement pursuant to the Settlement, Class Counsel’s application for Fees and Expenses and service awards for the named Plaintiff</w:t>
      </w:r>
      <w:r w:rsidR="00AC2F85">
        <w:rPr>
          <w:rFonts w:eastAsia="PMingLiU"/>
          <w:color w:val="000000"/>
        </w:rPr>
        <w:t>s</w:t>
      </w:r>
      <w:r w:rsidRPr="00956DAF">
        <w:rPr>
          <w:rFonts w:eastAsia="PMingLiU"/>
          <w:color w:val="000000"/>
        </w:rPr>
        <w:t>-Settlement Class representatives, the time, place</w:t>
      </w:r>
      <w:r w:rsidR="007F2C3F">
        <w:rPr>
          <w:rFonts w:eastAsia="PMingLiU"/>
          <w:color w:val="000000"/>
        </w:rPr>
        <w:t>,</w:t>
      </w:r>
      <w:r w:rsidRPr="00956DAF">
        <w:rPr>
          <w:rFonts w:eastAsia="PMingLiU"/>
          <w:color w:val="000000"/>
        </w:rPr>
        <w:t xml:space="preserve"> and right to appear at the Final Fairness hearing, and other pertinent information about the Settlement and the Settlement Class Members’ rights.  The Court authorizes the Parties to make non-material modifications to the Settlement Class Notice and Claim Form prior to mailing if they jointly agree that any such changes are appropriate. </w:t>
      </w:r>
    </w:p>
    <w:p w14:paraId="472ED8D9" w14:textId="5D975422" w:rsidR="0085707D" w:rsidRPr="00956DAF" w:rsidRDefault="0085707D" w:rsidP="0085707D">
      <w:pPr>
        <w:numPr>
          <w:ilvl w:val="0"/>
          <w:numId w:val="5"/>
        </w:numPr>
        <w:spacing w:line="480" w:lineRule="auto"/>
        <w:ind w:left="0" w:firstLine="720"/>
        <w:rPr>
          <w:rFonts w:eastAsia="PMingLiU"/>
          <w:color w:val="000000"/>
        </w:rPr>
      </w:pPr>
      <w:r w:rsidRPr="00956DAF">
        <w:t>No later than the date specified in Paragraph 2</w:t>
      </w:r>
      <w:r w:rsidR="00BE3BAC" w:rsidRPr="00956DAF">
        <w:t>1</w:t>
      </w:r>
      <w:r w:rsidRPr="00956DAF">
        <w:t xml:space="preserve"> below, the Settlement Administrator shall provide notice to the Class pursuant to the terms of the Agreement.  The Parties shall coordinate with the Settlement Administrator to provide notice to the Class pursuant to the terms set forth therein.</w:t>
      </w:r>
    </w:p>
    <w:p w14:paraId="6B41DEFC" w14:textId="1EB7892C" w:rsidR="0085707D" w:rsidRPr="00956DAF" w:rsidRDefault="0085707D" w:rsidP="0085707D">
      <w:pPr>
        <w:numPr>
          <w:ilvl w:val="0"/>
          <w:numId w:val="5"/>
        </w:numPr>
        <w:spacing w:line="480" w:lineRule="auto"/>
        <w:ind w:left="0" w:firstLine="720"/>
        <w:rPr>
          <w:rFonts w:eastAsia="PMingLiU"/>
          <w:color w:val="000000"/>
        </w:rPr>
      </w:pPr>
      <w:r w:rsidRPr="00956DAF">
        <w:rPr>
          <w:rFonts w:eastAsia="PMingLiU"/>
          <w:color w:val="000000"/>
          <w:u w:val="single"/>
        </w:rPr>
        <w:lastRenderedPageBreak/>
        <w:t>Administration</w:t>
      </w:r>
      <w:r w:rsidRPr="00956DAF">
        <w:rPr>
          <w:rFonts w:eastAsia="PMingLiU"/>
          <w:color w:val="000000"/>
        </w:rPr>
        <w:t xml:space="preserve">:  The Court appoints </w:t>
      </w:r>
      <w:r w:rsidR="006D2769" w:rsidRPr="007F2C3F">
        <w:rPr>
          <w:rFonts w:eastAsia="PMingLiU"/>
          <w:color w:val="000000"/>
        </w:rPr>
        <w:t>Kroll</w:t>
      </w:r>
      <w:r w:rsidR="009F7A4F" w:rsidRPr="007F2C3F">
        <w:rPr>
          <w:rFonts w:eastAsia="PMingLiU"/>
          <w:color w:val="000000"/>
        </w:rPr>
        <w:t>,</w:t>
      </w:r>
      <w:r w:rsidR="00CA4781" w:rsidRPr="007F2C3F">
        <w:rPr>
          <w:rFonts w:eastAsia="PMingLiU"/>
          <w:color w:val="000000"/>
        </w:rPr>
        <w:t xml:space="preserve"> LLC</w:t>
      </w:r>
      <w:r w:rsidRPr="00956DAF">
        <w:rPr>
          <w:rFonts w:eastAsia="PMingLiU"/>
          <w:color w:val="000000"/>
        </w:rPr>
        <w:t xml:space="preserve"> as the Settlement Claim Administrator (“Claim Administrator”). </w:t>
      </w:r>
      <w:r w:rsidR="00915583">
        <w:rPr>
          <w:rFonts w:eastAsia="PMingLiU"/>
          <w:color w:val="000000"/>
        </w:rPr>
        <w:t xml:space="preserve"> </w:t>
      </w:r>
      <w:r w:rsidRPr="00956DAF">
        <w:rPr>
          <w:rFonts w:eastAsia="PMingLiU"/>
          <w:color w:val="000000"/>
        </w:rPr>
        <w:t>The Claim Administrator is directed to perform all settlement administration duties set forth in, and pursuant to the terms and time periods of, the Settlement Agreement, including mailing of the CAFA Notice, i</w:t>
      </w:r>
      <w:r w:rsidRPr="00956DAF">
        <w:rPr>
          <w:rFonts w:eastAsia="PMingLiU"/>
        </w:rPr>
        <w:t>mplementing and maintaining the Settlement website, disseminating the Class Notice to the Settlement Class,</w:t>
      </w:r>
      <w:r w:rsidR="000125AC">
        <w:rPr>
          <w:rFonts w:eastAsia="PMingLiU"/>
        </w:rPr>
        <w:t xml:space="preserve"> the Publication Notice,</w:t>
      </w:r>
      <w:r w:rsidRPr="00956DAF">
        <w:rPr>
          <w:rFonts w:eastAsia="PMingLiU"/>
        </w:rPr>
        <w:t xml:space="preserve"> the processing, review and determination of timely submitted and proper Claims under the Settlement, and the submission of any declarations and other materials to counsel and the Court, as well as any other duties required under the </w:t>
      </w:r>
      <w:r w:rsidR="002438AB" w:rsidRPr="00956DAF">
        <w:rPr>
          <w:rFonts w:eastAsia="PMingLiU"/>
        </w:rPr>
        <w:t>S</w:t>
      </w:r>
      <w:r w:rsidRPr="00956DAF">
        <w:rPr>
          <w:rFonts w:eastAsia="PMingLiU"/>
        </w:rPr>
        <w:t xml:space="preserve">ettlement Agreement. </w:t>
      </w:r>
    </w:p>
    <w:p w14:paraId="591467CD" w14:textId="443BE904" w:rsidR="0085707D" w:rsidRPr="00956DAF" w:rsidRDefault="0085707D" w:rsidP="0085707D">
      <w:pPr>
        <w:numPr>
          <w:ilvl w:val="0"/>
          <w:numId w:val="5"/>
        </w:numPr>
        <w:spacing w:line="480" w:lineRule="auto"/>
        <w:ind w:left="0" w:firstLine="720"/>
        <w:rPr>
          <w:rFonts w:eastAsia="PMingLiU"/>
          <w:color w:val="000000"/>
        </w:rPr>
      </w:pPr>
      <w:r w:rsidRPr="00956DAF">
        <w:rPr>
          <w:u w:val="single"/>
        </w:rPr>
        <w:t>Exclusion from Class</w:t>
      </w:r>
      <w:r w:rsidRPr="00956DAF">
        <w:t xml:space="preserve">.  Any Class Member who wishes to be excluded from the Class must send to the Settlement Administrator by U.S. Mail a </w:t>
      </w:r>
      <w:r w:rsidR="00314B58" w:rsidRPr="00956DAF">
        <w:t xml:space="preserve">Request for Exclusion postmarked no later than the Opt-Out Date.  The Request for Exclusion must be a personally signed letter from the Class Member including </w:t>
      </w:r>
      <w:r w:rsidR="00FB6046" w:rsidRPr="00FB6046">
        <w:t xml:space="preserve">(1) his/her/their name, address, and telephone number; (2) the name and number of this case; (3) documents or information sufficient to establish the person’s standing as a Settlement Class Member (including the Product purchased and date and location of purchase); (4) a statement that he/she/they wishes/wish to be excluded from the Settlement Class; and (5) a signature.  </w:t>
      </w:r>
      <w:r w:rsidRPr="00956DAF">
        <w:t xml:space="preserve">A Class Member can exclude only himself or herself from the </w:t>
      </w:r>
      <w:proofErr w:type="gramStart"/>
      <w:r w:rsidRPr="00956DAF">
        <w:t>Class, and</w:t>
      </w:r>
      <w:proofErr w:type="gramEnd"/>
      <w:r w:rsidRPr="00956DAF">
        <w:t xml:space="preserve"> shall not be allowed to request that another individual or group be excluded.  “Mass” or “class” opt-outs are not permitted.  Any </w:t>
      </w:r>
      <w:r w:rsidR="00C44A79" w:rsidRPr="00956DAF">
        <w:t>r</w:t>
      </w:r>
      <w:r w:rsidRPr="00956DAF">
        <w:t xml:space="preserve">equest for </w:t>
      </w:r>
      <w:r w:rsidR="00C44A79" w:rsidRPr="00956DAF">
        <w:t>e</w:t>
      </w:r>
      <w:r w:rsidRPr="00956DAF">
        <w:t xml:space="preserve">xclusion must be postmarked and sent to the Settlement Administrator no later than the date specified in </w:t>
      </w:r>
      <w:r w:rsidR="00BE3BAC" w:rsidRPr="00956DAF">
        <w:t xml:space="preserve">Paragraph 21 </w:t>
      </w:r>
      <w:r w:rsidRPr="00956DAF">
        <w:t>below (the “</w:t>
      </w:r>
      <w:r w:rsidR="003D7AE7" w:rsidRPr="00956DAF">
        <w:t>Opt-Out</w:t>
      </w:r>
      <w:r w:rsidRPr="00956DAF">
        <w:t xml:space="preserve"> Deadline”).  </w:t>
      </w:r>
      <w:r w:rsidR="00AF2CCD" w:rsidRPr="00AF2CCD">
        <w:t>At least seven (7) calendar days before the deadline to file the Motion for Final Approval, Class Counsel will prepare or cause the Settlement Administrator to prepare a list of the persons who have excluded themselves in a valid and timely manner from the Settlement Class, and Class Counsel will file that list with the Court</w:t>
      </w:r>
      <w:r w:rsidRPr="00956DAF">
        <w:t xml:space="preserve">.   </w:t>
      </w:r>
    </w:p>
    <w:p w14:paraId="7EDEFFDB" w14:textId="24506209" w:rsidR="0085707D" w:rsidRPr="00956DAF" w:rsidRDefault="0085707D" w:rsidP="0085707D">
      <w:pPr>
        <w:numPr>
          <w:ilvl w:val="0"/>
          <w:numId w:val="5"/>
        </w:numPr>
        <w:spacing w:line="480" w:lineRule="auto"/>
        <w:ind w:left="0" w:firstLine="720"/>
        <w:rPr>
          <w:rFonts w:eastAsia="PMingLiU"/>
          <w:color w:val="000000" w:themeColor="text1"/>
        </w:rPr>
      </w:pPr>
      <w:r w:rsidRPr="00956DAF">
        <w:lastRenderedPageBreak/>
        <w:t xml:space="preserve">If the proposed Settlement is finally approved, any potential Class Member who has not submitted a timely written </w:t>
      </w:r>
      <w:r w:rsidR="003C5C41" w:rsidRPr="00956DAF">
        <w:t>r</w:t>
      </w:r>
      <w:r w:rsidRPr="00956DAF">
        <w:t xml:space="preserve">equest for </w:t>
      </w:r>
      <w:r w:rsidR="003C5C41" w:rsidRPr="00956DAF">
        <w:t>e</w:t>
      </w:r>
      <w:r w:rsidRPr="00956DAF">
        <w:t xml:space="preserve">xclusion on or before the </w:t>
      </w:r>
      <w:r w:rsidR="003C5C41" w:rsidRPr="00956DAF">
        <w:t>Opt-Out</w:t>
      </w:r>
      <w:r w:rsidRPr="00956DAF">
        <w:t xml:space="preserve"> Deadline shall be bound by all terms of the Agreement and the Final Order and Final Judgment, even if the potential Class Member previously initiated or subsequently initiates any litigation against any or all of the Released Parties relating to Released Claims.  All persons or entities who properly exclude themselves from the Class shall not be Class Members and shall relinquish their rights or benefits under the Agreement, should it be approved, and may not file an objection to the Settlement or be entitled to </w:t>
      </w:r>
      <w:r w:rsidRPr="00956DAF">
        <w:rPr>
          <w:color w:val="000000" w:themeColor="text1"/>
        </w:rPr>
        <w:t>any settlement benefits</w:t>
      </w:r>
      <w:r w:rsidRPr="00956DAF">
        <w:rPr>
          <w:rFonts w:eastAsia="PMingLiU"/>
          <w:color w:val="000000" w:themeColor="text1"/>
        </w:rPr>
        <w:t>.</w:t>
      </w:r>
    </w:p>
    <w:p w14:paraId="4C0A7356" w14:textId="51929FD0" w:rsidR="0085707D" w:rsidRPr="00956DAF" w:rsidRDefault="0085707D" w:rsidP="0085707D">
      <w:pPr>
        <w:numPr>
          <w:ilvl w:val="0"/>
          <w:numId w:val="5"/>
        </w:numPr>
        <w:spacing w:line="480" w:lineRule="auto"/>
        <w:ind w:left="0" w:firstLine="720"/>
        <w:rPr>
          <w:rFonts w:eastAsia="PMingLiU"/>
          <w:color w:val="000000" w:themeColor="text1"/>
        </w:rPr>
      </w:pPr>
      <w:r w:rsidRPr="00956DAF">
        <w:rPr>
          <w:rFonts w:eastAsia="PMingLiU"/>
          <w:color w:val="000000" w:themeColor="text1"/>
          <w:u w:val="single"/>
        </w:rPr>
        <w:t>Objections</w:t>
      </w:r>
      <w:r w:rsidRPr="00956DAF">
        <w:rPr>
          <w:rFonts w:eastAsia="PMingLiU"/>
          <w:color w:val="000000" w:themeColor="text1"/>
        </w:rPr>
        <w:t xml:space="preserve">:  </w:t>
      </w:r>
      <w:r w:rsidRPr="00956DAF">
        <w:rPr>
          <w:color w:val="000000" w:themeColor="text1"/>
        </w:rPr>
        <w:t xml:space="preserve">Any Class Member who has not filed a timely written </w:t>
      </w:r>
      <w:r w:rsidR="003C5C41" w:rsidRPr="00956DAF">
        <w:rPr>
          <w:color w:val="000000" w:themeColor="text1"/>
        </w:rPr>
        <w:t>r</w:t>
      </w:r>
      <w:r w:rsidRPr="00956DAF">
        <w:rPr>
          <w:color w:val="000000" w:themeColor="text1"/>
        </w:rPr>
        <w:t xml:space="preserve">equest for </w:t>
      </w:r>
      <w:r w:rsidR="003C5C41" w:rsidRPr="00956DAF">
        <w:rPr>
          <w:color w:val="000000" w:themeColor="text1"/>
        </w:rPr>
        <w:t>e</w:t>
      </w:r>
      <w:r w:rsidRPr="00956DAF">
        <w:rPr>
          <w:color w:val="000000" w:themeColor="text1"/>
        </w:rPr>
        <w:t>xclusion may object to the fairness, adequacy, or reasonableness of th</w:t>
      </w:r>
      <w:r w:rsidR="003C5C41" w:rsidRPr="00956DAF">
        <w:rPr>
          <w:color w:val="000000" w:themeColor="text1"/>
        </w:rPr>
        <w:t xml:space="preserve">e </w:t>
      </w:r>
      <w:r w:rsidRPr="00956DAF">
        <w:rPr>
          <w:color w:val="000000" w:themeColor="text1"/>
        </w:rPr>
        <w:t xml:space="preserve">Settlement </w:t>
      </w:r>
      <w:r w:rsidR="00B04AFC" w:rsidRPr="00956DAF">
        <w:rPr>
          <w:color w:val="000000" w:themeColor="text1"/>
        </w:rPr>
        <w:t>Agreement, the</w:t>
      </w:r>
      <w:r w:rsidRPr="00956DAF">
        <w:rPr>
          <w:color w:val="000000" w:themeColor="text1"/>
        </w:rPr>
        <w:t xml:space="preserve"> requested award of attorneys’ fees and expenses, </w:t>
      </w:r>
      <w:r w:rsidR="003C5C41" w:rsidRPr="00956DAF">
        <w:rPr>
          <w:color w:val="000000" w:themeColor="text1"/>
        </w:rPr>
        <w:t>and/</w:t>
      </w:r>
      <w:r w:rsidRPr="00956DAF">
        <w:rPr>
          <w:rStyle w:val="DeltaViewInsertion"/>
          <w:color w:val="000000" w:themeColor="text1"/>
          <w:u w:val="none"/>
        </w:rPr>
        <w:t>or Plaintiff</w:t>
      </w:r>
      <w:r w:rsidR="00CB27F7">
        <w:rPr>
          <w:rStyle w:val="DeltaViewInsertion"/>
          <w:color w:val="000000" w:themeColor="text1"/>
          <w:u w:val="none"/>
        </w:rPr>
        <w:t>s</w:t>
      </w:r>
      <w:r w:rsidR="00AC2F85">
        <w:rPr>
          <w:rStyle w:val="DeltaViewInsertion"/>
          <w:color w:val="000000" w:themeColor="text1"/>
          <w:u w:val="none"/>
        </w:rPr>
        <w:t>’</w:t>
      </w:r>
      <w:r w:rsidRPr="00956DAF">
        <w:rPr>
          <w:rStyle w:val="DeltaViewInsertion"/>
          <w:color w:val="000000" w:themeColor="text1"/>
          <w:u w:val="none"/>
        </w:rPr>
        <w:t xml:space="preserve"> service awards</w:t>
      </w:r>
      <w:r w:rsidRPr="00956DAF">
        <w:rPr>
          <w:color w:val="000000" w:themeColor="text1"/>
        </w:rPr>
        <w:t>.</w:t>
      </w:r>
      <w:bookmarkStart w:id="2" w:name="_Ref349476277"/>
    </w:p>
    <w:p w14:paraId="629E85E3" w14:textId="4A194D09" w:rsidR="008C7E32" w:rsidRPr="00956DAF" w:rsidRDefault="00703F1E" w:rsidP="00DB23E0">
      <w:pPr>
        <w:numPr>
          <w:ilvl w:val="0"/>
          <w:numId w:val="5"/>
        </w:numPr>
        <w:spacing w:line="480" w:lineRule="auto"/>
        <w:ind w:left="0" w:firstLine="720"/>
        <w:rPr>
          <w:rFonts w:eastAsia="PMingLiU"/>
          <w:color w:val="000000" w:themeColor="text1"/>
        </w:rPr>
      </w:pPr>
      <w:r w:rsidRPr="00703F1E">
        <w:t>In order to object, the objection must contain: (</w:t>
      </w:r>
      <w:proofErr w:type="spellStart"/>
      <w:r w:rsidRPr="00703F1E">
        <w:t>i</w:t>
      </w:r>
      <w:proofErr w:type="spellEnd"/>
      <w:r w:rsidRPr="00703F1E">
        <w:t xml:space="preserve">) a caption or title that identifies it as “Objection to Class Settlement in </w:t>
      </w:r>
      <w:r w:rsidRPr="00703F1E">
        <w:rPr>
          <w:i/>
        </w:rPr>
        <w:t>Bell v. CVS Pharmacy, Inc.</w:t>
      </w:r>
      <w:r w:rsidRPr="00703F1E">
        <w:t xml:space="preserve">”; (ii) contact and address information for the objecting Settlement Class Member; (iii) documents sufficient to establish the person’s standing as a Settlement Class Member (including the Product purchased and date and location of purchase); (iv) the facts supporting the objection; (v) the legal grounds on which the objection is based, including all citations to legal authority and evidence supporting the objection; (vi) the name and contact information of any and all attorneys representing, advising, or in any way assisting the objector in connection with the preparation or submission of the objection or who may profit from the pursuit of the objection (the “Objecting Attorneys”), and (vii) the objector’s signature (an attorney signature is not sufficient).  If a Settlement Class Member or any of the Objecting Attorneys has objected to any class action settlement within the </w:t>
      </w:r>
      <w:r w:rsidRPr="00703F1E">
        <w:lastRenderedPageBreak/>
        <w:t>last five years, then the objection must include a statement identifying each such case by full case caption and amount of payment received.  No mass or class objections will be permitted</w:t>
      </w:r>
      <w:bookmarkEnd w:id="2"/>
      <w:r w:rsidR="008C7E32" w:rsidRPr="00956DAF">
        <w:t xml:space="preserve">.  </w:t>
      </w:r>
    </w:p>
    <w:p w14:paraId="2172568D" w14:textId="23868D48" w:rsidR="0085707D" w:rsidRPr="00956DAF" w:rsidRDefault="0085707D" w:rsidP="0085707D">
      <w:pPr>
        <w:numPr>
          <w:ilvl w:val="0"/>
          <w:numId w:val="5"/>
        </w:numPr>
        <w:spacing w:line="480" w:lineRule="auto"/>
        <w:ind w:left="0" w:firstLine="720"/>
        <w:rPr>
          <w:rFonts w:eastAsia="PMingLiU"/>
          <w:color w:val="000000" w:themeColor="text1"/>
        </w:rPr>
      </w:pPr>
      <w:r w:rsidRPr="00956DAF">
        <w:t>Any</w:t>
      </w:r>
      <w:r w:rsidR="006A79A5" w:rsidRPr="00956DAF">
        <w:t xml:space="preserve"> objecting Class Member may appear, in person or by counsel, at the Final Fairness Hearing to explain why the proposed Settlement should not be approved as fair, reasonable, and adequate, or to object to any motion for Class Counsel Fees and Expenses or Class representative service award.  To appear, the objecting Class Member must, by the deadline set by the Court, file with the Clerk of the Court and serve upon all counsel designated in the Class Notice, a Notice of Intention to Appear at the final fairness hearing.  The Notice of Intention to Appear must include copies of any papers, exhibits or other evidence and the identity of witnesses that the objecting Class Member (or the objecting Class Member’s counsel) intends to present to the Court in connection with the final fairness hearing.  Any Class Member who does not provide a </w:t>
      </w:r>
      <w:r w:rsidR="00DB23E0" w:rsidRPr="00956DAF">
        <w:t xml:space="preserve">timely </w:t>
      </w:r>
      <w:r w:rsidR="006A79A5" w:rsidRPr="00956DAF">
        <w:t>Notice of Intention to Appear in accordance with the deadline and other requirements set forth in this Settlement Agreement and Class Notice shall be deemed to have waived any right to appear, in person or by counsel, at the Final Fairness Hearing</w:t>
      </w:r>
      <w:r w:rsidRPr="00956DAF">
        <w:rPr>
          <w:color w:val="000000" w:themeColor="text1"/>
        </w:rPr>
        <w:t>.</w:t>
      </w:r>
    </w:p>
    <w:p w14:paraId="3A6F15EC" w14:textId="277E490F" w:rsidR="0085707D" w:rsidRPr="00956DAF" w:rsidRDefault="0085707D" w:rsidP="0085707D">
      <w:pPr>
        <w:numPr>
          <w:ilvl w:val="0"/>
          <w:numId w:val="5"/>
        </w:numPr>
        <w:spacing w:line="480" w:lineRule="auto"/>
        <w:ind w:left="0" w:firstLine="720"/>
        <w:rPr>
          <w:rFonts w:eastAsia="PMingLiU"/>
          <w:color w:val="000000" w:themeColor="text1"/>
        </w:rPr>
      </w:pPr>
      <w:r w:rsidRPr="00956DAF">
        <w:rPr>
          <w:rFonts w:eastAsia="PMingLiU"/>
          <w:color w:val="000000" w:themeColor="text1"/>
        </w:rPr>
        <w:t xml:space="preserve">Any Settlement Class Member who has not properly filed a timely objection in accordance with the deadline and requirements set forth in this Order and Class Notice shall be deemed to have waived any objections to the Settlement </w:t>
      </w:r>
      <w:r w:rsidR="00BD6AC7" w:rsidRPr="00956DAF">
        <w:rPr>
          <w:rFonts w:eastAsia="PMingLiU"/>
          <w:color w:val="000000" w:themeColor="text1"/>
        </w:rPr>
        <w:t xml:space="preserve">Agreement </w:t>
      </w:r>
      <w:r w:rsidRPr="00956DAF">
        <w:rPr>
          <w:rFonts w:eastAsia="PMingLiU"/>
          <w:color w:val="000000" w:themeColor="text1"/>
        </w:rPr>
        <w:t>and any adjudication or review of the Settlement Agreement by appeal or otherwise.</w:t>
      </w:r>
    </w:p>
    <w:p w14:paraId="5AB48500" w14:textId="2496AF8F" w:rsidR="006A79A5" w:rsidRPr="00956DAF" w:rsidRDefault="0085707D" w:rsidP="006A79A5">
      <w:pPr>
        <w:numPr>
          <w:ilvl w:val="0"/>
          <w:numId w:val="5"/>
        </w:numPr>
        <w:spacing w:line="480" w:lineRule="auto"/>
        <w:ind w:left="0" w:firstLine="720"/>
        <w:rPr>
          <w:rFonts w:eastAsia="PMingLiU"/>
          <w:color w:val="000000" w:themeColor="text1"/>
        </w:rPr>
      </w:pPr>
      <w:r w:rsidRPr="00956DAF">
        <w:rPr>
          <w:u w:val="single"/>
        </w:rPr>
        <w:t>Preliminary Injunction</w:t>
      </w:r>
      <w:r w:rsidRPr="00956DAF">
        <w:t xml:space="preserve">.  All Class Members and/or their representatives who do not timely and properly exclude themselves from the Class are barred and enjoined from directly, indirectly, derivatively, in a representative capacity, or in any other capacity filing, commencing, prosecuting, maintaining, intervening in, participating in, conducting, or continuing any action in any forum (state or federal) as individuals, class members, putative class members, or otherwise </w:t>
      </w:r>
      <w:r w:rsidRPr="00956DAF">
        <w:lastRenderedPageBreak/>
        <w:t>against the Released Parties (as defined in the Agreement) in any court or tribunal asserting any of the Released Claims (as defined in the Agreement), and/or from receiving any benefits from any lawsuit</w:t>
      </w:r>
      <w:r w:rsidR="00DB23E0" w:rsidRPr="00956DAF">
        <w:t xml:space="preserve"> other than this one</w:t>
      </w:r>
      <w:r w:rsidRPr="00956DAF">
        <w:t>, administrative or regulatory proceeding, or order in any jurisdiction, arising out of, based on, or relating to the Released Claims.  In addition, all such persons are hereby barred and enjoined from filing, commencing, or prosecuting a lawsuit against Defendant (or against any of its related parties, parents, subsidiaries, or affiliates) as a class action, a separate class, or group for purposes of pursuing a putative class action (including by seeking to amend a pending complaint to include class allegations or by seeking class certification in a pending action in any jurisdiction) on behalf of Class Members who do not timely exclude themselves from the Class, arising out of, based on, or relating to the Released Claims.  Pursuant to 28 U.S.C. §§ 1651(a) and 2283, the Court finds that issuance of this preliminary injunction is necessary and appropriate in aid of the Court’s continuing jurisdiction and authority over the Action.</w:t>
      </w:r>
    </w:p>
    <w:p w14:paraId="2EC9FAD4" w14:textId="3C069905" w:rsidR="006A79A5" w:rsidRPr="00956DAF" w:rsidRDefault="0085707D" w:rsidP="00984B1B">
      <w:pPr>
        <w:numPr>
          <w:ilvl w:val="0"/>
          <w:numId w:val="5"/>
        </w:numPr>
        <w:spacing w:line="480" w:lineRule="auto"/>
        <w:ind w:left="0" w:firstLine="720"/>
        <w:rPr>
          <w:rFonts w:eastAsia="PMingLiU"/>
          <w:color w:val="000000" w:themeColor="text1"/>
        </w:rPr>
      </w:pPr>
      <w:r w:rsidRPr="00956DAF">
        <w:rPr>
          <w:u w:val="single"/>
        </w:rPr>
        <w:t>Termination of Settlement</w:t>
      </w:r>
      <w:r w:rsidRPr="00956DAF">
        <w:t xml:space="preserve">.  </w:t>
      </w:r>
      <w:r w:rsidR="006A79A5" w:rsidRPr="00956DAF">
        <w:t xml:space="preserve">If </w:t>
      </w:r>
      <w:r w:rsidR="00DB23E0" w:rsidRPr="00956DAF">
        <w:t>the Court does not grant final approval to the Settlement Agre</w:t>
      </w:r>
      <w:r w:rsidR="00984B1B" w:rsidRPr="00956DAF">
        <w:t>e</w:t>
      </w:r>
      <w:r w:rsidR="00DB23E0" w:rsidRPr="00956DAF">
        <w:t>ment</w:t>
      </w:r>
      <w:r w:rsidR="006A79A5" w:rsidRPr="00956DAF">
        <w:t xml:space="preserve">, </w:t>
      </w:r>
      <w:r w:rsidR="00984B1B" w:rsidRPr="00956DAF">
        <w:t xml:space="preserve">or for any reason the parties fail to obtain a Final Order and Final Judgement as contemplated in the Settlement Agreement, or the Settlement Agreement is terminated pursuant to its terms for any reason, or the Effective Date does not occur for any reason, then </w:t>
      </w:r>
      <w:r w:rsidR="006A79A5" w:rsidRPr="00956DAF">
        <w:t xml:space="preserve">the Parties shall be restored to their respective pre-settlement positions in the Action, including with regard to any agreements concerning tolling and similar agreements, and this entire Agreement shall be null and void, shall have no further force and effect with respect to any Party in the Action, and shall not be offered in evidence or used in any litigation for any purpose, including the existence, certification, or maintenance of any purported class or Defendant’s liability with respect to the claims that are, were or could have been asserted in the </w:t>
      </w:r>
      <w:r w:rsidR="006A79A5" w:rsidRPr="00956DAF">
        <w:lastRenderedPageBreak/>
        <w:t>Action.  In the event of such, this Agreement and all negotiations, proceedings, documents prepared, and statements made in connection with it shall be without prejudice to the Parties, and shall not be deemed or construed to be an admission or confession by any Party of any fact, matter, or proposition of law, and shall not be used in any manner for any purpose, and all Parties to the Action shall stand in the same position as if this Agreement had not been negotiated, made, or filed with the Court.</w:t>
      </w:r>
    </w:p>
    <w:p w14:paraId="2A82284F" w14:textId="15A8682A" w:rsidR="0085707D" w:rsidRPr="00956DAF" w:rsidRDefault="006A79A5" w:rsidP="006A79A5">
      <w:pPr>
        <w:numPr>
          <w:ilvl w:val="0"/>
          <w:numId w:val="5"/>
        </w:numPr>
        <w:spacing w:line="480" w:lineRule="auto"/>
        <w:ind w:left="0" w:firstLine="720"/>
        <w:rPr>
          <w:rFonts w:eastAsia="PMingLiU"/>
          <w:color w:val="000000" w:themeColor="text1"/>
        </w:rPr>
      </w:pPr>
      <w:r w:rsidRPr="00956DAF">
        <w:t>In the event of termination, the terminating Party shall cause the Settlement Administrator to post information regarding the termination on the Settlement Website</w:t>
      </w:r>
    </w:p>
    <w:p w14:paraId="5E511685" w14:textId="7068E11F" w:rsidR="0085707D" w:rsidRPr="00956DAF" w:rsidRDefault="0085707D" w:rsidP="0085707D">
      <w:pPr>
        <w:numPr>
          <w:ilvl w:val="0"/>
          <w:numId w:val="5"/>
        </w:numPr>
        <w:spacing w:line="480" w:lineRule="auto"/>
        <w:ind w:left="0" w:firstLine="720"/>
        <w:rPr>
          <w:rFonts w:eastAsia="PMingLiU"/>
          <w:color w:val="000000" w:themeColor="text1"/>
        </w:rPr>
      </w:pPr>
      <w:r w:rsidRPr="00956DAF">
        <w:rPr>
          <w:u w:val="single"/>
        </w:rPr>
        <w:t>Alteration of Exhibits</w:t>
      </w:r>
      <w:r w:rsidRPr="00956DAF">
        <w:t>.  Plaintiff</w:t>
      </w:r>
      <w:r w:rsidR="00CB27F7">
        <w:t>s</w:t>
      </w:r>
      <w:r w:rsidR="00AC2F85">
        <w:t>’</w:t>
      </w:r>
      <w:r w:rsidRPr="00956DAF">
        <w:t xml:space="preserve"> Counsel and Defense Counsel are hereby authorized to use all reasonable procedures to further the administration of the Settlement that are not materially inconsistent with this Order or the Agreement, including making, without further approval of the Court, minor changes to the form or content of the Long Form Notice, Summary Notice, and other exhibits that they jointly agree are reasonable or necessary.</w:t>
      </w:r>
    </w:p>
    <w:p w14:paraId="67D9D284" w14:textId="77777777" w:rsidR="0085707D" w:rsidRPr="00956DAF" w:rsidRDefault="0085707D" w:rsidP="0085707D">
      <w:pPr>
        <w:numPr>
          <w:ilvl w:val="0"/>
          <w:numId w:val="5"/>
        </w:numPr>
        <w:spacing w:line="480" w:lineRule="auto"/>
        <w:ind w:left="0" w:firstLine="720"/>
        <w:rPr>
          <w:rFonts w:eastAsia="PMingLiU"/>
          <w:color w:val="000000" w:themeColor="text1"/>
        </w:rPr>
      </w:pPr>
      <w:r w:rsidRPr="00956DAF">
        <w:rPr>
          <w:u w:val="single"/>
        </w:rPr>
        <w:t>Retaining Jurisdiction</w:t>
      </w:r>
      <w:r w:rsidRPr="00956DAF">
        <w:t>.  This Court shall maintain continuing jurisdiction over these settlement proceedings to ensure the effectuation thereof for the benefit of the Class, and for any other necessary purpose.</w:t>
      </w:r>
    </w:p>
    <w:p w14:paraId="2A6E08DE" w14:textId="77777777" w:rsidR="0085707D" w:rsidRPr="00956DAF" w:rsidRDefault="0085707D" w:rsidP="0085707D">
      <w:pPr>
        <w:numPr>
          <w:ilvl w:val="0"/>
          <w:numId w:val="5"/>
        </w:numPr>
        <w:spacing w:line="480" w:lineRule="auto"/>
        <w:ind w:left="0" w:firstLine="720"/>
        <w:rPr>
          <w:rFonts w:eastAsia="PMingLiU"/>
          <w:color w:val="000000" w:themeColor="text1"/>
        </w:rPr>
      </w:pPr>
      <w:r w:rsidRPr="00956DAF">
        <w:rPr>
          <w:u w:val="single"/>
        </w:rPr>
        <w:t>Settlement Deadlines</w:t>
      </w:r>
      <w:r w:rsidRPr="00956DAF">
        <w:t xml:space="preserve">.  </w:t>
      </w:r>
      <w:r w:rsidRPr="00956DAF">
        <w:rPr>
          <w:rFonts w:eastAsia="PMingLiU"/>
          <w:color w:val="000000" w:themeColor="text1"/>
        </w:rPr>
        <w:t>Based on the foregoing, the Court sets the schedule below for the Final Fairness Hearing and the actions which must precede it.  If any deadline set forth in this Order falls on a weekend or federal holiday, then such deadline shall extend to the next business day.  These deadlines may be extended by order of the Court, for good cause shown, without further notice to the Class.  Settlement Class Members must check the Settlement website regularly for updates and further details regarding this Settlement:</w:t>
      </w:r>
    </w:p>
    <w:p w14:paraId="5A56EA3D" w14:textId="77777777" w:rsidR="0085707D" w:rsidRPr="00956DAF" w:rsidRDefault="0085707D" w:rsidP="0085707D">
      <w:pPr>
        <w:spacing w:line="480" w:lineRule="exact"/>
        <w:ind w:left="720"/>
        <w:rPr>
          <w:u w:val="single"/>
        </w:rPr>
      </w:pPr>
    </w:p>
    <w:tbl>
      <w:tblPr>
        <w:tblStyle w:val="TableGrid"/>
        <w:tblW w:w="0" w:type="auto"/>
        <w:tblLook w:val="04A0" w:firstRow="1" w:lastRow="0" w:firstColumn="1" w:lastColumn="0" w:noHBand="0" w:noVBand="1"/>
      </w:tblPr>
      <w:tblGrid>
        <w:gridCol w:w="3415"/>
        <w:gridCol w:w="3060"/>
        <w:gridCol w:w="2875"/>
      </w:tblGrid>
      <w:tr w:rsidR="003D7AE7" w:rsidRPr="00956DAF" w14:paraId="249CF275" w14:textId="3A2E7394" w:rsidTr="003D7AE7">
        <w:tc>
          <w:tcPr>
            <w:tcW w:w="3415" w:type="dxa"/>
            <w:shd w:val="pct20" w:color="auto" w:fill="auto"/>
          </w:tcPr>
          <w:p w14:paraId="73C7C182" w14:textId="77777777" w:rsidR="003D7AE7" w:rsidRPr="00956DAF" w:rsidRDefault="003D7AE7" w:rsidP="007D236D">
            <w:pPr>
              <w:keepNext/>
              <w:keepLines/>
              <w:spacing w:line="480" w:lineRule="exact"/>
              <w:rPr>
                <w:rFonts w:ascii="Times New Roman" w:hAnsi="Times New Roman"/>
                <w:b/>
                <w:color w:val="000000" w:themeColor="text1"/>
                <w:sz w:val="24"/>
                <w:szCs w:val="24"/>
                <w:u w:val="single"/>
              </w:rPr>
            </w:pPr>
            <w:r w:rsidRPr="00956DAF">
              <w:rPr>
                <w:rFonts w:ascii="Times New Roman" w:hAnsi="Times New Roman"/>
                <w:b/>
                <w:color w:val="000000" w:themeColor="text1"/>
                <w:sz w:val="24"/>
                <w:szCs w:val="24"/>
                <w:u w:val="single"/>
              </w:rPr>
              <w:lastRenderedPageBreak/>
              <w:t>Event</w:t>
            </w:r>
          </w:p>
        </w:tc>
        <w:tc>
          <w:tcPr>
            <w:tcW w:w="3060" w:type="dxa"/>
            <w:shd w:val="pct20" w:color="auto" w:fill="auto"/>
          </w:tcPr>
          <w:p w14:paraId="51577E81" w14:textId="6851DDA0" w:rsidR="003D7AE7" w:rsidRPr="00956DAF" w:rsidRDefault="003D7AE7" w:rsidP="003D7AE7">
            <w:pPr>
              <w:keepNext/>
              <w:keepLines/>
              <w:spacing w:after="120" w:line="240" w:lineRule="auto"/>
              <w:rPr>
                <w:rFonts w:ascii="Times New Roman" w:hAnsi="Times New Roman"/>
                <w:b/>
                <w:color w:val="000000" w:themeColor="text1"/>
                <w:sz w:val="24"/>
                <w:szCs w:val="24"/>
                <w:u w:val="single"/>
              </w:rPr>
            </w:pPr>
            <w:r w:rsidRPr="00956DAF">
              <w:rPr>
                <w:rFonts w:ascii="Times New Roman" w:hAnsi="Times New Roman"/>
                <w:b/>
                <w:color w:val="000000" w:themeColor="text1"/>
                <w:sz w:val="24"/>
                <w:szCs w:val="24"/>
                <w:u w:val="single"/>
              </w:rPr>
              <w:t xml:space="preserve">Deadline Pursuant </w:t>
            </w:r>
            <w:proofErr w:type="gramStart"/>
            <w:r w:rsidRPr="00956DAF">
              <w:rPr>
                <w:rFonts w:ascii="Times New Roman" w:hAnsi="Times New Roman"/>
                <w:b/>
                <w:color w:val="000000" w:themeColor="text1"/>
                <w:sz w:val="24"/>
                <w:szCs w:val="24"/>
                <w:u w:val="single"/>
              </w:rPr>
              <w:t>To</w:t>
            </w:r>
            <w:proofErr w:type="gramEnd"/>
            <w:r w:rsidRPr="00956DAF">
              <w:rPr>
                <w:rFonts w:ascii="Times New Roman" w:hAnsi="Times New Roman"/>
                <w:b/>
                <w:color w:val="000000" w:themeColor="text1"/>
                <w:sz w:val="24"/>
                <w:szCs w:val="24"/>
                <w:u w:val="single"/>
              </w:rPr>
              <w:t xml:space="preserve"> Settlement Agreement </w:t>
            </w:r>
          </w:p>
        </w:tc>
        <w:tc>
          <w:tcPr>
            <w:tcW w:w="2875" w:type="dxa"/>
            <w:shd w:val="pct20" w:color="auto" w:fill="auto"/>
          </w:tcPr>
          <w:p w14:paraId="2314C8D6" w14:textId="25F4FC39" w:rsidR="003D7AE7" w:rsidRPr="00956DAF" w:rsidRDefault="003D7AE7" w:rsidP="003D7AE7">
            <w:pPr>
              <w:keepNext/>
              <w:keepLines/>
              <w:spacing w:after="120" w:line="240" w:lineRule="auto"/>
              <w:rPr>
                <w:rFonts w:ascii="Times New Roman" w:hAnsi="Times New Roman"/>
                <w:b/>
                <w:color w:val="000000" w:themeColor="text1"/>
                <w:sz w:val="24"/>
                <w:szCs w:val="24"/>
                <w:u w:val="single"/>
              </w:rPr>
            </w:pPr>
            <w:r w:rsidRPr="00956DAF">
              <w:rPr>
                <w:rFonts w:ascii="Times New Roman" w:hAnsi="Times New Roman"/>
                <w:b/>
                <w:color w:val="000000" w:themeColor="text1"/>
                <w:sz w:val="24"/>
                <w:szCs w:val="24"/>
                <w:u w:val="single"/>
              </w:rPr>
              <w:t xml:space="preserve">Date Ordered </w:t>
            </w:r>
            <w:proofErr w:type="gramStart"/>
            <w:r w:rsidRPr="00956DAF">
              <w:rPr>
                <w:rFonts w:ascii="Times New Roman" w:hAnsi="Times New Roman"/>
                <w:b/>
                <w:color w:val="000000" w:themeColor="text1"/>
                <w:sz w:val="24"/>
                <w:szCs w:val="24"/>
                <w:u w:val="single"/>
              </w:rPr>
              <w:t>By</w:t>
            </w:r>
            <w:proofErr w:type="gramEnd"/>
            <w:r w:rsidRPr="00956DAF">
              <w:rPr>
                <w:rFonts w:ascii="Times New Roman" w:hAnsi="Times New Roman"/>
                <w:b/>
                <w:color w:val="000000" w:themeColor="text1"/>
                <w:sz w:val="24"/>
                <w:szCs w:val="24"/>
                <w:u w:val="single"/>
              </w:rPr>
              <w:t xml:space="preserve"> Court</w:t>
            </w:r>
          </w:p>
        </w:tc>
      </w:tr>
      <w:tr w:rsidR="003D7AE7" w:rsidRPr="00956DAF" w14:paraId="2B0C7A0C" w14:textId="6F698BF0" w:rsidTr="003D7AE7">
        <w:tc>
          <w:tcPr>
            <w:tcW w:w="3415" w:type="dxa"/>
          </w:tcPr>
          <w:p w14:paraId="2C7D887B" w14:textId="77777777" w:rsidR="003D7AE7" w:rsidRPr="00B17BDA" w:rsidRDefault="003D7AE7" w:rsidP="007D236D">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Notice Date</w:t>
            </w:r>
          </w:p>
        </w:tc>
        <w:tc>
          <w:tcPr>
            <w:tcW w:w="3060" w:type="dxa"/>
          </w:tcPr>
          <w:p w14:paraId="66E99BD7" w14:textId="5291D0F8" w:rsidR="003D7AE7" w:rsidRPr="00B17BDA" w:rsidRDefault="009F5494" w:rsidP="007D236D">
            <w:pPr>
              <w:spacing w:before="120" w:after="120"/>
              <w:rPr>
                <w:rFonts w:ascii="Times New Roman" w:hAnsi="Times New Roman"/>
                <w:bCs/>
                <w:color w:val="000000" w:themeColor="text1"/>
                <w:sz w:val="24"/>
                <w:szCs w:val="24"/>
              </w:rPr>
            </w:pPr>
            <w:r w:rsidRPr="009E2034">
              <w:rPr>
                <w:rFonts w:ascii="Times New Roman" w:hAnsi="Times New Roman"/>
                <w:bCs/>
                <w:color w:val="000000" w:themeColor="text1"/>
                <w:sz w:val="24"/>
                <w:szCs w:val="24"/>
              </w:rPr>
              <w:t>30</w:t>
            </w:r>
            <w:r w:rsidR="003D7AE7" w:rsidRPr="00B17BDA">
              <w:rPr>
                <w:rFonts w:ascii="Times New Roman" w:hAnsi="Times New Roman"/>
                <w:bCs/>
                <w:color w:val="000000" w:themeColor="text1"/>
                <w:sz w:val="24"/>
                <w:szCs w:val="24"/>
              </w:rPr>
              <w:t xml:space="preserve"> days after Preliminary Approval Granted</w:t>
            </w:r>
          </w:p>
        </w:tc>
        <w:tc>
          <w:tcPr>
            <w:tcW w:w="2875" w:type="dxa"/>
          </w:tcPr>
          <w:p w14:paraId="3F2A59FE" w14:textId="77777777" w:rsidR="003D7AE7" w:rsidRPr="00956DAF" w:rsidRDefault="003D7AE7" w:rsidP="007D236D">
            <w:pPr>
              <w:spacing w:before="120" w:after="120"/>
              <w:rPr>
                <w:rFonts w:ascii="Times New Roman" w:hAnsi="Times New Roman"/>
                <w:bCs/>
                <w:color w:val="000000" w:themeColor="text1"/>
                <w:sz w:val="24"/>
                <w:szCs w:val="24"/>
              </w:rPr>
            </w:pPr>
          </w:p>
        </w:tc>
      </w:tr>
      <w:tr w:rsidR="003D7AE7" w:rsidRPr="00956DAF" w14:paraId="697B2440" w14:textId="56CB3D03" w:rsidTr="003D7AE7">
        <w:tc>
          <w:tcPr>
            <w:tcW w:w="3415" w:type="dxa"/>
          </w:tcPr>
          <w:p w14:paraId="18B2EA44" w14:textId="76695650" w:rsidR="003D7AE7" w:rsidRPr="00B17BDA" w:rsidRDefault="003D7AE7" w:rsidP="007D236D">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Application for</w:t>
            </w:r>
            <w:r w:rsidR="000C2CF9" w:rsidRPr="009E2034">
              <w:rPr>
                <w:rFonts w:ascii="Times New Roman" w:hAnsi="Times New Roman"/>
                <w:bCs/>
                <w:color w:val="000000" w:themeColor="text1"/>
                <w:sz w:val="24"/>
                <w:szCs w:val="24"/>
              </w:rPr>
              <w:t xml:space="preserve"> </w:t>
            </w:r>
            <w:r w:rsidR="000C2CF9" w:rsidRPr="00B17BDA">
              <w:rPr>
                <w:rFonts w:ascii="Times New Roman" w:hAnsi="Times New Roman"/>
                <w:bCs/>
                <w:color w:val="000000" w:themeColor="text1"/>
                <w:sz w:val="24"/>
                <w:szCs w:val="24"/>
              </w:rPr>
              <w:t>service awards and</w:t>
            </w:r>
            <w:r w:rsidRPr="00B17BDA">
              <w:rPr>
                <w:rFonts w:ascii="Times New Roman" w:hAnsi="Times New Roman"/>
                <w:bCs/>
                <w:color w:val="000000" w:themeColor="text1"/>
                <w:sz w:val="24"/>
                <w:szCs w:val="24"/>
              </w:rPr>
              <w:t xml:space="preserve"> </w:t>
            </w:r>
            <w:r w:rsidRPr="00B17BDA">
              <w:rPr>
                <w:rFonts w:ascii="Times New Roman" w:hAnsi="Times New Roman"/>
                <w:bCs/>
                <w:sz w:val="24"/>
                <w:szCs w:val="24"/>
              </w:rPr>
              <w:t>Attorneys’ Fees and Expenses</w:t>
            </w:r>
          </w:p>
        </w:tc>
        <w:tc>
          <w:tcPr>
            <w:tcW w:w="3060" w:type="dxa"/>
          </w:tcPr>
          <w:p w14:paraId="22D1E642" w14:textId="4360BB7F" w:rsidR="003D7AE7" w:rsidRPr="00B17BDA" w:rsidRDefault="00406DC7" w:rsidP="007D236D">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14 days prior to Opt-Out/Objection Deadline</w:t>
            </w:r>
          </w:p>
        </w:tc>
        <w:tc>
          <w:tcPr>
            <w:tcW w:w="2875" w:type="dxa"/>
          </w:tcPr>
          <w:p w14:paraId="4DF090D4" w14:textId="77777777" w:rsidR="003D7AE7" w:rsidRPr="00956DAF" w:rsidRDefault="003D7AE7" w:rsidP="007D236D">
            <w:pPr>
              <w:spacing w:before="120" w:after="120"/>
              <w:rPr>
                <w:rFonts w:ascii="Times New Roman" w:hAnsi="Times New Roman"/>
                <w:bCs/>
                <w:color w:val="000000" w:themeColor="text1"/>
                <w:sz w:val="24"/>
                <w:szCs w:val="24"/>
              </w:rPr>
            </w:pPr>
          </w:p>
        </w:tc>
      </w:tr>
      <w:tr w:rsidR="003D7AE7" w:rsidRPr="00956DAF" w14:paraId="34AE939F" w14:textId="20F0EEB5" w:rsidTr="003D7AE7">
        <w:tc>
          <w:tcPr>
            <w:tcW w:w="3415" w:type="dxa"/>
          </w:tcPr>
          <w:p w14:paraId="342AA6E2" w14:textId="011DA2B2" w:rsidR="003D7AE7" w:rsidRPr="00B17BDA" w:rsidRDefault="00406DC7" w:rsidP="007D236D">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 xml:space="preserve">Opt-Out and </w:t>
            </w:r>
            <w:r w:rsidR="003D7AE7" w:rsidRPr="00B17BDA">
              <w:rPr>
                <w:rFonts w:ascii="Times New Roman" w:hAnsi="Times New Roman"/>
                <w:bCs/>
                <w:color w:val="000000" w:themeColor="text1"/>
                <w:sz w:val="24"/>
                <w:szCs w:val="24"/>
              </w:rPr>
              <w:t>Objection Deadline</w:t>
            </w:r>
          </w:p>
        </w:tc>
        <w:tc>
          <w:tcPr>
            <w:tcW w:w="3060" w:type="dxa"/>
          </w:tcPr>
          <w:p w14:paraId="6350FAB3" w14:textId="4D8A9CD5" w:rsidR="003D7AE7" w:rsidRPr="00B17BDA" w:rsidRDefault="006C6B2A" w:rsidP="007D236D">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 xml:space="preserve">45 </w:t>
            </w:r>
            <w:r w:rsidR="003D7AE7" w:rsidRPr="00B17BDA">
              <w:rPr>
                <w:rFonts w:ascii="Times New Roman" w:hAnsi="Times New Roman"/>
                <w:bCs/>
                <w:color w:val="000000" w:themeColor="text1"/>
                <w:sz w:val="24"/>
                <w:szCs w:val="24"/>
              </w:rPr>
              <w:t>days after Notice</w:t>
            </w:r>
            <w:r w:rsidRPr="00B17BDA">
              <w:rPr>
                <w:rFonts w:ascii="Times New Roman" w:hAnsi="Times New Roman"/>
                <w:bCs/>
                <w:color w:val="000000" w:themeColor="text1"/>
                <w:sz w:val="24"/>
                <w:szCs w:val="24"/>
              </w:rPr>
              <w:t xml:space="preserve"> Date</w:t>
            </w:r>
          </w:p>
        </w:tc>
        <w:tc>
          <w:tcPr>
            <w:tcW w:w="2875" w:type="dxa"/>
          </w:tcPr>
          <w:p w14:paraId="5602597D" w14:textId="77777777" w:rsidR="003D7AE7" w:rsidRPr="00956DAF" w:rsidRDefault="003D7AE7" w:rsidP="007D236D">
            <w:pPr>
              <w:spacing w:before="120" w:after="120"/>
              <w:rPr>
                <w:rFonts w:ascii="Times New Roman" w:hAnsi="Times New Roman"/>
                <w:bCs/>
                <w:color w:val="000000" w:themeColor="text1"/>
                <w:sz w:val="24"/>
                <w:szCs w:val="24"/>
              </w:rPr>
            </w:pPr>
          </w:p>
        </w:tc>
      </w:tr>
      <w:tr w:rsidR="00C43C22" w:rsidRPr="00956DAF" w14:paraId="3AD21D40" w14:textId="77777777" w:rsidTr="003D7AE7">
        <w:tc>
          <w:tcPr>
            <w:tcW w:w="3415" w:type="dxa"/>
          </w:tcPr>
          <w:p w14:paraId="4B196CA7" w14:textId="77631E4B" w:rsidR="00C43C22" w:rsidRPr="00B17BDA" w:rsidRDefault="00C43C22" w:rsidP="00C43C22">
            <w:pPr>
              <w:spacing w:before="120" w:after="120"/>
              <w:rPr>
                <w:bCs/>
                <w:color w:val="000000" w:themeColor="text1"/>
              </w:rPr>
            </w:pPr>
            <w:r w:rsidRPr="00C43C22">
              <w:rPr>
                <w:rFonts w:ascii="Times New Roman" w:hAnsi="Times New Roman"/>
                <w:bCs/>
                <w:color w:val="000000" w:themeColor="text1"/>
                <w:sz w:val="24"/>
                <w:szCs w:val="24"/>
              </w:rPr>
              <w:t>Deadline to submit notices of appearance at the Final Approval Hearing</w:t>
            </w:r>
          </w:p>
        </w:tc>
        <w:tc>
          <w:tcPr>
            <w:tcW w:w="3060" w:type="dxa"/>
          </w:tcPr>
          <w:p w14:paraId="296A2E1E" w14:textId="308E17E9" w:rsidR="00C43C22" w:rsidRPr="00B17BDA" w:rsidRDefault="00C43C22" w:rsidP="00C43C22">
            <w:pPr>
              <w:spacing w:before="120" w:after="120"/>
              <w:rPr>
                <w:bCs/>
                <w:color w:val="000000" w:themeColor="text1"/>
              </w:rPr>
            </w:pPr>
            <w:r w:rsidRPr="009E2034">
              <w:rPr>
                <w:rFonts w:ascii="Times New Roman" w:hAnsi="Times New Roman"/>
                <w:bCs/>
                <w:color w:val="000000" w:themeColor="text1"/>
                <w:sz w:val="24"/>
                <w:szCs w:val="24"/>
              </w:rPr>
              <w:t>45</w:t>
            </w:r>
            <w:r w:rsidRPr="00C43C22">
              <w:rPr>
                <w:rFonts w:ascii="Times New Roman" w:hAnsi="Times New Roman"/>
                <w:bCs/>
                <w:color w:val="000000" w:themeColor="text1"/>
                <w:sz w:val="24"/>
                <w:szCs w:val="24"/>
              </w:rPr>
              <w:t xml:space="preserve"> days after Notice Date</w:t>
            </w:r>
          </w:p>
        </w:tc>
        <w:tc>
          <w:tcPr>
            <w:tcW w:w="2875" w:type="dxa"/>
          </w:tcPr>
          <w:p w14:paraId="6977FA81" w14:textId="77777777" w:rsidR="00C43C22" w:rsidRPr="00956DAF" w:rsidRDefault="00C43C22" w:rsidP="00C43C22">
            <w:pPr>
              <w:spacing w:before="120" w:after="120"/>
              <w:rPr>
                <w:bCs/>
                <w:color w:val="000000" w:themeColor="text1"/>
              </w:rPr>
            </w:pPr>
          </w:p>
        </w:tc>
      </w:tr>
      <w:tr w:rsidR="00C43C22" w:rsidRPr="00956DAF" w14:paraId="3B3FEE1A" w14:textId="332FF20B" w:rsidTr="003D7AE7">
        <w:tc>
          <w:tcPr>
            <w:tcW w:w="3415" w:type="dxa"/>
          </w:tcPr>
          <w:p w14:paraId="28621880" w14:textId="6C52491F" w:rsidR="00C43C22" w:rsidRPr="00B17BDA" w:rsidRDefault="00C43C22" w:rsidP="00C43C22">
            <w:pPr>
              <w:spacing w:before="120" w:after="120"/>
              <w:rPr>
                <w:rFonts w:ascii="Times New Roman" w:hAnsi="Times New Roman"/>
                <w:bCs/>
                <w:color w:val="000000" w:themeColor="text1"/>
                <w:sz w:val="24"/>
                <w:szCs w:val="24"/>
              </w:rPr>
            </w:pPr>
            <w:r w:rsidRPr="00B17BDA">
              <w:rPr>
                <w:rFonts w:ascii="Times New Roman" w:hAnsi="Times New Roman"/>
                <w:bCs/>
                <w:color w:val="000000" w:themeColor="text1"/>
                <w:sz w:val="24"/>
                <w:szCs w:val="24"/>
              </w:rPr>
              <w:t>Claim</w:t>
            </w:r>
            <w:r w:rsidRPr="009E2034">
              <w:rPr>
                <w:rFonts w:ascii="Times New Roman" w:hAnsi="Times New Roman"/>
                <w:bCs/>
                <w:color w:val="000000" w:themeColor="text1"/>
                <w:sz w:val="24"/>
                <w:szCs w:val="24"/>
              </w:rPr>
              <w:t>s</w:t>
            </w:r>
            <w:r w:rsidRPr="00B17BDA">
              <w:rPr>
                <w:rFonts w:ascii="Times New Roman" w:hAnsi="Times New Roman"/>
                <w:bCs/>
                <w:color w:val="000000" w:themeColor="text1"/>
                <w:sz w:val="24"/>
                <w:szCs w:val="24"/>
              </w:rPr>
              <w:t xml:space="preserve"> Deadline</w:t>
            </w:r>
          </w:p>
        </w:tc>
        <w:tc>
          <w:tcPr>
            <w:tcW w:w="3060" w:type="dxa"/>
          </w:tcPr>
          <w:p w14:paraId="5652A2E4" w14:textId="0B6D17F2" w:rsidR="00C43C22" w:rsidRPr="00B17BDA" w:rsidRDefault="00C43C22" w:rsidP="00C43C22">
            <w:pPr>
              <w:spacing w:before="120" w:after="120"/>
              <w:rPr>
                <w:rFonts w:ascii="Times New Roman" w:hAnsi="Times New Roman"/>
                <w:bCs/>
                <w:color w:val="000000" w:themeColor="text1"/>
                <w:sz w:val="24"/>
                <w:szCs w:val="24"/>
              </w:rPr>
            </w:pPr>
            <w:r w:rsidRPr="009E2034">
              <w:rPr>
                <w:rFonts w:ascii="Times New Roman" w:hAnsi="Times New Roman"/>
                <w:bCs/>
                <w:color w:val="000000" w:themeColor="text1"/>
                <w:sz w:val="24"/>
                <w:szCs w:val="24"/>
              </w:rPr>
              <w:t>9</w:t>
            </w:r>
            <w:r w:rsidRPr="00B17BDA">
              <w:rPr>
                <w:rFonts w:ascii="Times New Roman" w:hAnsi="Times New Roman"/>
                <w:bCs/>
                <w:color w:val="000000" w:themeColor="text1"/>
                <w:sz w:val="24"/>
                <w:szCs w:val="24"/>
              </w:rPr>
              <w:t>0 days after Notice Date</w:t>
            </w:r>
          </w:p>
        </w:tc>
        <w:tc>
          <w:tcPr>
            <w:tcW w:w="2875" w:type="dxa"/>
          </w:tcPr>
          <w:p w14:paraId="51655D79" w14:textId="77777777" w:rsidR="00C43C22" w:rsidRPr="00956DAF" w:rsidRDefault="00C43C22" w:rsidP="00C43C22">
            <w:pPr>
              <w:spacing w:before="120" w:after="120"/>
              <w:rPr>
                <w:rFonts w:ascii="Times New Roman" w:hAnsi="Times New Roman"/>
                <w:bCs/>
                <w:color w:val="000000" w:themeColor="text1"/>
                <w:sz w:val="24"/>
                <w:szCs w:val="24"/>
              </w:rPr>
            </w:pPr>
          </w:p>
        </w:tc>
      </w:tr>
      <w:tr w:rsidR="00C43C22" w:rsidRPr="00956DAF" w14:paraId="5547EB78" w14:textId="77777777" w:rsidTr="003D7AE7">
        <w:tc>
          <w:tcPr>
            <w:tcW w:w="3415" w:type="dxa"/>
          </w:tcPr>
          <w:p w14:paraId="049CC897" w14:textId="4D46F9CA" w:rsidR="00C43C22" w:rsidRPr="00C43C22" w:rsidRDefault="00C43C22" w:rsidP="00C43C22">
            <w:pPr>
              <w:spacing w:before="120" w:after="120"/>
              <w:rPr>
                <w:rFonts w:ascii="Times New Roman" w:hAnsi="Times New Roman"/>
                <w:bCs/>
                <w:color w:val="000000" w:themeColor="text1"/>
                <w:sz w:val="24"/>
                <w:szCs w:val="24"/>
              </w:rPr>
            </w:pPr>
            <w:r w:rsidRPr="00C43C22">
              <w:rPr>
                <w:rFonts w:ascii="Times New Roman" w:hAnsi="Times New Roman"/>
                <w:bCs/>
                <w:color w:val="000000" w:themeColor="text1"/>
                <w:sz w:val="24"/>
                <w:szCs w:val="24"/>
              </w:rPr>
              <w:t>Final Approval Motion and response to any objections</w:t>
            </w:r>
          </w:p>
        </w:tc>
        <w:tc>
          <w:tcPr>
            <w:tcW w:w="3060" w:type="dxa"/>
          </w:tcPr>
          <w:p w14:paraId="0DC7F644" w14:textId="33F0C3EC" w:rsidR="00C43C22" w:rsidRPr="00C43C22" w:rsidRDefault="00C43C22" w:rsidP="00C43C22">
            <w:pPr>
              <w:spacing w:before="120" w:after="120"/>
              <w:rPr>
                <w:rFonts w:ascii="Times New Roman" w:hAnsi="Times New Roman"/>
                <w:bCs/>
                <w:color w:val="000000" w:themeColor="text1"/>
                <w:sz w:val="24"/>
                <w:szCs w:val="24"/>
              </w:rPr>
            </w:pPr>
            <w:r w:rsidRPr="00C43C22">
              <w:rPr>
                <w:rFonts w:ascii="Times New Roman" w:hAnsi="Times New Roman"/>
                <w:bCs/>
                <w:color w:val="000000" w:themeColor="text1"/>
                <w:sz w:val="24"/>
                <w:szCs w:val="24"/>
              </w:rPr>
              <w:t>100 days after Notice Date</w:t>
            </w:r>
          </w:p>
        </w:tc>
        <w:tc>
          <w:tcPr>
            <w:tcW w:w="2875" w:type="dxa"/>
          </w:tcPr>
          <w:p w14:paraId="4B3F4507" w14:textId="77777777" w:rsidR="00C43C22" w:rsidRPr="00956DAF" w:rsidRDefault="00C43C22" w:rsidP="00C43C22">
            <w:pPr>
              <w:spacing w:before="120" w:after="120"/>
              <w:rPr>
                <w:bCs/>
                <w:color w:val="000000" w:themeColor="text1"/>
              </w:rPr>
            </w:pPr>
          </w:p>
        </w:tc>
      </w:tr>
      <w:tr w:rsidR="00C43C22" w:rsidRPr="00956DAF" w14:paraId="7A87AB2A" w14:textId="77777777" w:rsidTr="003D7AE7">
        <w:tc>
          <w:tcPr>
            <w:tcW w:w="3415" w:type="dxa"/>
          </w:tcPr>
          <w:p w14:paraId="3EF9F65E" w14:textId="164E7D9C" w:rsidR="00C43C22" w:rsidRPr="00C43C22" w:rsidRDefault="00C43C22" w:rsidP="00C43C22">
            <w:pPr>
              <w:spacing w:before="120" w:after="120"/>
              <w:rPr>
                <w:rFonts w:ascii="Times New Roman" w:hAnsi="Times New Roman"/>
                <w:bCs/>
                <w:color w:val="000000" w:themeColor="text1"/>
                <w:sz w:val="24"/>
                <w:szCs w:val="24"/>
                <w:highlight w:val="yellow"/>
              </w:rPr>
            </w:pPr>
            <w:r w:rsidRPr="00C43C22">
              <w:rPr>
                <w:rFonts w:ascii="Times New Roman" w:hAnsi="Times New Roman"/>
                <w:bCs/>
                <w:color w:val="000000" w:themeColor="text1"/>
                <w:sz w:val="24"/>
                <w:szCs w:val="24"/>
              </w:rPr>
              <w:t>Final Approval Hearing</w:t>
            </w:r>
          </w:p>
        </w:tc>
        <w:tc>
          <w:tcPr>
            <w:tcW w:w="3060" w:type="dxa"/>
          </w:tcPr>
          <w:p w14:paraId="166D3F28" w14:textId="5414AAF3" w:rsidR="00C43C22" w:rsidRPr="00C43C22" w:rsidRDefault="00C43C22" w:rsidP="00C43C22">
            <w:pPr>
              <w:spacing w:before="120" w:after="120"/>
              <w:rPr>
                <w:rFonts w:ascii="Times New Roman" w:hAnsi="Times New Roman"/>
                <w:bCs/>
                <w:color w:val="000000" w:themeColor="text1"/>
                <w:sz w:val="24"/>
                <w:szCs w:val="24"/>
                <w:highlight w:val="yellow"/>
              </w:rPr>
            </w:pPr>
            <w:r w:rsidRPr="00C43C22">
              <w:rPr>
                <w:rFonts w:ascii="Times New Roman" w:hAnsi="Times New Roman"/>
                <w:bCs/>
                <w:color w:val="000000" w:themeColor="text1"/>
                <w:sz w:val="24"/>
                <w:szCs w:val="24"/>
              </w:rPr>
              <w:t>1</w:t>
            </w:r>
            <w:r w:rsidR="00756ACC">
              <w:rPr>
                <w:rFonts w:ascii="Times New Roman" w:hAnsi="Times New Roman"/>
                <w:bCs/>
                <w:color w:val="000000" w:themeColor="text1"/>
                <w:sz w:val="24"/>
                <w:szCs w:val="24"/>
              </w:rPr>
              <w:t>2</w:t>
            </w:r>
            <w:r w:rsidRPr="00C43C22">
              <w:rPr>
                <w:rFonts w:ascii="Times New Roman" w:hAnsi="Times New Roman"/>
                <w:bCs/>
                <w:color w:val="000000" w:themeColor="text1"/>
                <w:sz w:val="24"/>
                <w:szCs w:val="24"/>
              </w:rPr>
              <w:t>0 days after Notice Date, or as soon thereafter as may be heard by the Court</w:t>
            </w:r>
          </w:p>
        </w:tc>
        <w:tc>
          <w:tcPr>
            <w:tcW w:w="2875" w:type="dxa"/>
          </w:tcPr>
          <w:p w14:paraId="781C8E2F" w14:textId="77777777" w:rsidR="00C43C22" w:rsidRPr="00956DAF" w:rsidRDefault="00C43C22" w:rsidP="00C43C22">
            <w:pPr>
              <w:spacing w:before="120" w:after="120"/>
              <w:rPr>
                <w:bCs/>
                <w:color w:val="000000" w:themeColor="text1"/>
              </w:rPr>
            </w:pPr>
          </w:p>
        </w:tc>
      </w:tr>
    </w:tbl>
    <w:p w14:paraId="70D84591" w14:textId="77777777" w:rsidR="0085707D" w:rsidRPr="00956DAF" w:rsidRDefault="0085707D" w:rsidP="0085707D">
      <w:pPr>
        <w:spacing w:line="480" w:lineRule="exact"/>
        <w:ind w:left="720"/>
        <w:rPr>
          <w:u w:val="single"/>
        </w:rPr>
      </w:pPr>
    </w:p>
    <w:p w14:paraId="13963774" w14:textId="767DF294" w:rsidR="0085707D" w:rsidRPr="00956DAF" w:rsidRDefault="0085707D" w:rsidP="0085707D">
      <w:pPr>
        <w:widowControl w:val="0"/>
        <w:spacing w:line="240" w:lineRule="auto"/>
        <w:rPr>
          <w:bCs/>
        </w:rPr>
      </w:pPr>
      <w:r w:rsidRPr="00956DAF">
        <w:rPr>
          <w:bCs/>
        </w:rPr>
        <w:t xml:space="preserve">IT IS SO </w:t>
      </w:r>
      <w:proofErr w:type="gramStart"/>
      <w:r w:rsidRPr="00956DAF">
        <w:rPr>
          <w:bCs/>
        </w:rPr>
        <w:t>ORDERED,</w:t>
      </w:r>
      <w:proofErr w:type="gramEnd"/>
      <w:r w:rsidRPr="00956DAF">
        <w:rPr>
          <w:bCs/>
        </w:rPr>
        <w:t xml:space="preserve"> on ____________________</w:t>
      </w:r>
    </w:p>
    <w:p w14:paraId="04DA1830" w14:textId="77777777" w:rsidR="0085707D" w:rsidRPr="00956DAF" w:rsidRDefault="0085707D" w:rsidP="0085707D">
      <w:pPr>
        <w:widowControl w:val="0"/>
        <w:spacing w:line="240" w:lineRule="auto"/>
        <w:rPr>
          <w:bCs/>
        </w:rPr>
      </w:pPr>
      <w:r w:rsidRPr="00956DAF">
        <w:rPr>
          <w:bCs/>
        </w:rPr>
        <w:tab/>
      </w:r>
      <w:r w:rsidRPr="00956DAF">
        <w:rPr>
          <w:bCs/>
        </w:rPr>
        <w:tab/>
      </w:r>
      <w:r w:rsidRPr="00956DAF">
        <w:rPr>
          <w:bCs/>
        </w:rPr>
        <w:tab/>
        <w:t xml:space="preserve">     (date)</w:t>
      </w:r>
    </w:p>
    <w:p w14:paraId="20FA05E3" w14:textId="77777777" w:rsidR="0085707D" w:rsidRPr="00956DAF" w:rsidRDefault="0085707D" w:rsidP="003D7AE7">
      <w:pPr>
        <w:widowControl w:val="0"/>
        <w:spacing w:line="240" w:lineRule="auto"/>
        <w:jc w:val="both"/>
        <w:rPr>
          <w:bCs/>
        </w:rPr>
      </w:pPr>
    </w:p>
    <w:p w14:paraId="32C0A32B" w14:textId="6407A17E" w:rsidR="0085707D" w:rsidRPr="00956DAF" w:rsidRDefault="0085707D" w:rsidP="0085707D">
      <w:pPr>
        <w:widowControl w:val="0"/>
        <w:spacing w:line="240" w:lineRule="auto"/>
        <w:ind w:left="1440" w:firstLine="720"/>
        <w:jc w:val="both"/>
        <w:rPr>
          <w:bCs/>
        </w:rPr>
      </w:pPr>
      <w:r w:rsidRPr="00956DAF">
        <w:rPr>
          <w:bCs/>
        </w:rPr>
        <w:tab/>
      </w:r>
      <w:r w:rsidRPr="00956DAF">
        <w:rPr>
          <w:bCs/>
        </w:rPr>
        <w:tab/>
      </w:r>
      <w:r w:rsidRPr="00956DAF">
        <w:rPr>
          <w:bCs/>
        </w:rPr>
        <w:tab/>
      </w:r>
      <w:r w:rsidRPr="00956DAF">
        <w:rPr>
          <w:bCs/>
        </w:rPr>
        <w:tab/>
        <w:t>_________________________________</w:t>
      </w:r>
    </w:p>
    <w:p w14:paraId="749942F6" w14:textId="77777777" w:rsidR="00CB27F7" w:rsidRDefault="0085707D" w:rsidP="00A8147D">
      <w:pPr>
        <w:widowControl w:val="0"/>
        <w:spacing w:line="240" w:lineRule="auto"/>
        <w:jc w:val="both"/>
        <w:rPr>
          <w:bCs/>
        </w:rPr>
      </w:pPr>
      <w:r w:rsidRPr="00956DAF">
        <w:rPr>
          <w:bCs/>
        </w:rPr>
        <w:tab/>
      </w:r>
      <w:r w:rsidRPr="00956DAF">
        <w:rPr>
          <w:bCs/>
        </w:rPr>
        <w:tab/>
      </w:r>
      <w:r w:rsidRPr="00956DAF">
        <w:rPr>
          <w:bCs/>
        </w:rPr>
        <w:tab/>
      </w:r>
      <w:r w:rsidRPr="00956DAF">
        <w:rPr>
          <w:bCs/>
        </w:rPr>
        <w:tab/>
      </w:r>
      <w:r w:rsidRPr="00956DAF">
        <w:rPr>
          <w:bCs/>
        </w:rPr>
        <w:tab/>
      </w:r>
      <w:r w:rsidRPr="00956DAF">
        <w:rPr>
          <w:bCs/>
        </w:rPr>
        <w:tab/>
      </w:r>
      <w:r w:rsidRPr="00956DAF">
        <w:rPr>
          <w:bCs/>
        </w:rPr>
        <w:tab/>
        <w:t xml:space="preserve">The Honorable </w:t>
      </w:r>
      <w:r w:rsidR="00CB27F7" w:rsidRPr="00CB27F7">
        <w:rPr>
          <w:bCs/>
        </w:rPr>
        <w:t xml:space="preserve">Peggy </w:t>
      </w:r>
      <w:proofErr w:type="spellStart"/>
      <w:r w:rsidR="00CB27F7" w:rsidRPr="00CB27F7">
        <w:rPr>
          <w:bCs/>
        </w:rPr>
        <w:t>Kuo</w:t>
      </w:r>
      <w:proofErr w:type="spellEnd"/>
    </w:p>
    <w:p w14:paraId="7855B08A" w14:textId="319D7384" w:rsidR="007A73FF" w:rsidRPr="00956DAF" w:rsidRDefault="0085707D" w:rsidP="00A8147D">
      <w:pPr>
        <w:widowControl w:val="0"/>
        <w:spacing w:line="240" w:lineRule="auto"/>
        <w:jc w:val="both"/>
      </w:pPr>
      <w:r w:rsidRPr="00956DAF">
        <w:rPr>
          <w:bCs/>
        </w:rPr>
        <w:tab/>
      </w:r>
      <w:r w:rsidRPr="00956DAF">
        <w:rPr>
          <w:bCs/>
        </w:rPr>
        <w:tab/>
      </w:r>
      <w:r w:rsidRPr="00956DAF">
        <w:rPr>
          <w:bCs/>
        </w:rPr>
        <w:tab/>
      </w:r>
      <w:r w:rsidRPr="00956DAF">
        <w:rPr>
          <w:bCs/>
        </w:rPr>
        <w:tab/>
      </w:r>
      <w:r w:rsidRPr="00956DAF">
        <w:rPr>
          <w:bCs/>
        </w:rPr>
        <w:tab/>
      </w:r>
      <w:r w:rsidRPr="00956DAF">
        <w:rPr>
          <w:bCs/>
        </w:rPr>
        <w:tab/>
      </w:r>
      <w:r w:rsidRPr="00956DAF">
        <w:rPr>
          <w:bCs/>
        </w:rPr>
        <w:tab/>
        <w:t xml:space="preserve">United States </w:t>
      </w:r>
      <w:r w:rsidR="00CB27F7">
        <w:rPr>
          <w:bCs/>
        </w:rPr>
        <w:t xml:space="preserve">Magistrate </w:t>
      </w:r>
      <w:r w:rsidRPr="00956DAF">
        <w:rPr>
          <w:bCs/>
        </w:rPr>
        <w:t>Judge</w:t>
      </w:r>
    </w:p>
    <w:sectPr w:rsidR="007A73FF" w:rsidRPr="00956DAF" w:rsidSect="005414EE">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8BD7" w14:textId="77777777" w:rsidR="00C14666" w:rsidRDefault="00C14666">
      <w:pPr>
        <w:spacing w:line="240" w:lineRule="auto"/>
      </w:pPr>
      <w:r>
        <w:separator/>
      </w:r>
    </w:p>
  </w:endnote>
  <w:endnote w:type="continuationSeparator" w:id="0">
    <w:p w14:paraId="3F93371A" w14:textId="77777777" w:rsidR="00C14666" w:rsidRDefault="00C14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C68" w14:textId="77777777" w:rsidR="007A73FF" w:rsidRDefault="005A3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4EE">
      <w:rPr>
        <w:rStyle w:val="PageNumber"/>
        <w:noProof/>
      </w:rPr>
      <w:t>12</w:t>
    </w:r>
    <w:r>
      <w:rPr>
        <w:rStyle w:val="PageNumber"/>
      </w:rPr>
      <w:fldChar w:fldCharType="end"/>
    </w:r>
  </w:p>
  <w:p w14:paraId="697C08B1" w14:textId="77777777" w:rsidR="007A73FF" w:rsidRDefault="007A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4D2A" w14:textId="77777777" w:rsidR="007A73FF" w:rsidRDefault="005A3CE7">
    <w:pPr>
      <w:pStyle w:val="Footer"/>
      <w:framePr w:wrap="around" w:vAnchor="text" w:hAnchor="margin" w:xAlign="center" w:y="1"/>
      <w:rPr>
        <w:rStyle w:val="PageNumber"/>
        <w:szCs w:val="28"/>
      </w:rPr>
    </w:pPr>
    <w:r>
      <w:rPr>
        <w:rStyle w:val="PageNumber"/>
        <w:szCs w:val="28"/>
      </w:rPr>
      <w:fldChar w:fldCharType="begin"/>
    </w:r>
    <w:r>
      <w:rPr>
        <w:rStyle w:val="PageNumber"/>
        <w:szCs w:val="28"/>
      </w:rPr>
      <w:instrText xml:space="preserve">PAGE  </w:instrText>
    </w:r>
    <w:r>
      <w:rPr>
        <w:rStyle w:val="PageNumber"/>
        <w:szCs w:val="28"/>
      </w:rPr>
      <w:fldChar w:fldCharType="separate"/>
    </w:r>
    <w:r w:rsidR="005414EE">
      <w:rPr>
        <w:rStyle w:val="PageNumber"/>
        <w:noProof/>
        <w:szCs w:val="28"/>
      </w:rPr>
      <w:t>6</w:t>
    </w:r>
    <w:r>
      <w:rPr>
        <w:rStyle w:val="PageNumber"/>
        <w:szCs w:val="28"/>
      </w:rPr>
      <w:fldChar w:fldCharType="end"/>
    </w:r>
  </w:p>
  <w:p w14:paraId="4BAA0645" w14:textId="77777777" w:rsidR="007A73FF" w:rsidRDefault="007A73FF" w:rsidP="003F3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90134"/>
      <w:docPartObj>
        <w:docPartGallery w:val="Page Numbers (Bottom of Page)"/>
        <w:docPartUnique/>
      </w:docPartObj>
    </w:sdtPr>
    <w:sdtEndPr>
      <w:rPr>
        <w:noProof/>
      </w:rPr>
    </w:sdtEndPr>
    <w:sdtContent>
      <w:p w14:paraId="34891DAC" w14:textId="29C02744" w:rsidR="007F2C3F" w:rsidRDefault="007F2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768C4" w14:textId="77777777" w:rsidR="00DE5618" w:rsidRDefault="00DE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D314" w14:textId="77777777" w:rsidR="00C14666" w:rsidRDefault="00C14666">
      <w:pPr>
        <w:spacing w:line="240" w:lineRule="auto"/>
      </w:pPr>
      <w:r>
        <w:separator/>
      </w:r>
    </w:p>
  </w:footnote>
  <w:footnote w:type="continuationSeparator" w:id="0">
    <w:p w14:paraId="7685B3C8" w14:textId="77777777" w:rsidR="00C14666" w:rsidRDefault="00C146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517"/>
    <w:multiLevelType w:val="hybridMultilevel"/>
    <w:tmpl w:val="09C89F04"/>
    <w:lvl w:ilvl="0" w:tplc="42844640">
      <w:start w:val="1"/>
      <w:numFmt w:val="decimal"/>
      <w:pStyle w:val="Heading310"/>
      <w:lvlText w:val="%1."/>
      <w:lvlJc w:val="left"/>
      <w:pPr>
        <w:ind w:left="1800" w:hanging="360"/>
      </w:pPr>
      <w:rPr>
        <w:rFonts w:ascii="Times New Roman" w:hAnsi="Times New Roman" w:hint="default"/>
        <w:b w:val="0"/>
        <w:i w:val="0"/>
        <w:caps w:val="0"/>
        <w:sz w:val="24"/>
        <w:szCs w:val="24"/>
      </w:rPr>
    </w:lvl>
    <w:lvl w:ilvl="1" w:tplc="58727AD8" w:tentative="1">
      <w:start w:val="1"/>
      <w:numFmt w:val="lowerLetter"/>
      <w:lvlText w:val="%2."/>
      <w:lvlJc w:val="left"/>
      <w:pPr>
        <w:ind w:left="2880" w:hanging="360"/>
      </w:pPr>
    </w:lvl>
    <w:lvl w:ilvl="2" w:tplc="176874C6" w:tentative="1">
      <w:start w:val="1"/>
      <w:numFmt w:val="lowerRoman"/>
      <w:lvlText w:val="%3."/>
      <w:lvlJc w:val="right"/>
      <w:pPr>
        <w:ind w:left="3600" w:hanging="180"/>
      </w:pPr>
    </w:lvl>
    <w:lvl w:ilvl="3" w:tplc="68E80C70" w:tentative="1">
      <w:start w:val="1"/>
      <w:numFmt w:val="decimal"/>
      <w:lvlText w:val="%4."/>
      <w:lvlJc w:val="left"/>
      <w:pPr>
        <w:ind w:left="4320" w:hanging="360"/>
      </w:pPr>
    </w:lvl>
    <w:lvl w:ilvl="4" w:tplc="6464E180" w:tentative="1">
      <w:start w:val="1"/>
      <w:numFmt w:val="lowerLetter"/>
      <w:lvlText w:val="%5."/>
      <w:lvlJc w:val="left"/>
      <w:pPr>
        <w:ind w:left="5040" w:hanging="360"/>
      </w:pPr>
    </w:lvl>
    <w:lvl w:ilvl="5" w:tplc="90220D9C" w:tentative="1">
      <w:start w:val="1"/>
      <w:numFmt w:val="lowerRoman"/>
      <w:lvlText w:val="%6."/>
      <w:lvlJc w:val="right"/>
      <w:pPr>
        <w:ind w:left="5760" w:hanging="180"/>
      </w:pPr>
    </w:lvl>
    <w:lvl w:ilvl="6" w:tplc="7E3A020E" w:tentative="1">
      <w:start w:val="1"/>
      <w:numFmt w:val="decimal"/>
      <w:lvlText w:val="%7."/>
      <w:lvlJc w:val="left"/>
      <w:pPr>
        <w:ind w:left="6480" w:hanging="360"/>
      </w:pPr>
    </w:lvl>
    <w:lvl w:ilvl="7" w:tplc="342A8868" w:tentative="1">
      <w:start w:val="1"/>
      <w:numFmt w:val="lowerLetter"/>
      <w:lvlText w:val="%8."/>
      <w:lvlJc w:val="left"/>
      <w:pPr>
        <w:ind w:left="7200" w:hanging="360"/>
      </w:pPr>
    </w:lvl>
    <w:lvl w:ilvl="8" w:tplc="A6E4E8E4" w:tentative="1">
      <w:start w:val="1"/>
      <w:numFmt w:val="lowerRoman"/>
      <w:lvlText w:val="%9."/>
      <w:lvlJc w:val="right"/>
      <w:pPr>
        <w:ind w:left="7920" w:hanging="180"/>
      </w:pPr>
    </w:lvl>
  </w:abstractNum>
  <w:abstractNum w:abstractNumId="1" w15:restartNumberingAfterBreak="0">
    <w:nsid w:val="0B7B10DF"/>
    <w:multiLevelType w:val="hybridMultilevel"/>
    <w:tmpl w:val="277E68DA"/>
    <w:lvl w:ilvl="0" w:tplc="77E02852">
      <w:start w:val="22"/>
      <w:numFmt w:val="decimal"/>
      <w:lvlText w:val="%1"/>
      <w:lvlJc w:val="left"/>
      <w:pPr>
        <w:ind w:left="1080" w:hanging="360"/>
      </w:pPr>
      <w:rPr>
        <w:rFonts w:hint="default"/>
        <w:b w:val="0"/>
        <w:u w:val="none"/>
      </w:rPr>
    </w:lvl>
    <w:lvl w:ilvl="1" w:tplc="3B1AB018" w:tentative="1">
      <w:start w:val="1"/>
      <w:numFmt w:val="lowerLetter"/>
      <w:lvlText w:val="%2."/>
      <w:lvlJc w:val="left"/>
      <w:pPr>
        <w:ind w:left="1800" w:hanging="360"/>
      </w:pPr>
    </w:lvl>
    <w:lvl w:ilvl="2" w:tplc="1E3EA682" w:tentative="1">
      <w:start w:val="1"/>
      <w:numFmt w:val="lowerRoman"/>
      <w:lvlText w:val="%3."/>
      <w:lvlJc w:val="right"/>
      <w:pPr>
        <w:ind w:left="2520" w:hanging="180"/>
      </w:pPr>
    </w:lvl>
    <w:lvl w:ilvl="3" w:tplc="4B94D752" w:tentative="1">
      <w:start w:val="1"/>
      <w:numFmt w:val="decimal"/>
      <w:lvlText w:val="%4."/>
      <w:lvlJc w:val="left"/>
      <w:pPr>
        <w:ind w:left="3240" w:hanging="360"/>
      </w:pPr>
    </w:lvl>
    <w:lvl w:ilvl="4" w:tplc="152464DA" w:tentative="1">
      <w:start w:val="1"/>
      <w:numFmt w:val="lowerLetter"/>
      <w:lvlText w:val="%5."/>
      <w:lvlJc w:val="left"/>
      <w:pPr>
        <w:ind w:left="3960" w:hanging="360"/>
      </w:pPr>
    </w:lvl>
    <w:lvl w:ilvl="5" w:tplc="7E1443C8" w:tentative="1">
      <w:start w:val="1"/>
      <w:numFmt w:val="lowerRoman"/>
      <w:lvlText w:val="%6."/>
      <w:lvlJc w:val="right"/>
      <w:pPr>
        <w:ind w:left="4680" w:hanging="180"/>
      </w:pPr>
    </w:lvl>
    <w:lvl w:ilvl="6" w:tplc="BE403A42" w:tentative="1">
      <w:start w:val="1"/>
      <w:numFmt w:val="decimal"/>
      <w:lvlText w:val="%7."/>
      <w:lvlJc w:val="left"/>
      <w:pPr>
        <w:ind w:left="5400" w:hanging="360"/>
      </w:pPr>
    </w:lvl>
    <w:lvl w:ilvl="7" w:tplc="527E29DC" w:tentative="1">
      <w:start w:val="1"/>
      <w:numFmt w:val="lowerLetter"/>
      <w:lvlText w:val="%8."/>
      <w:lvlJc w:val="left"/>
      <w:pPr>
        <w:ind w:left="6120" w:hanging="360"/>
      </w:pPr>
    </w:lvl>
    <w:lvl w:ilvl="8" w:tplc="58088690" w:tentative="1">
      <w:start w:val="1"/>
      <w:numFmt w:val="lowerRoman"/>
      <w:lvlText w:val="%9."/>
      <w:lvlJc w:val="right"/>
      <w:pPr>
        <w:ind w:left="6840" w:hanging="180"/>
      </w:pPr>
    </w:lvl>
  </w:abstractNum>
  <w:abstractNum w:abstractNumId="2" w15:restartNumberingAfterBreak="0">
    <w:nsid w:val="20AE74D8"/>
    <w:multiLevelType w:val="hybridMultilevel"/>
    <w:tmpl w:val="C28E76EC"/>
    <w:lvl w:ilvl="0" w:tplc="C4849C3C">
      <w:start w:val="19"/>
      <w:numFmt w:val="decimal"/>
      <w:lvlText w:val="%1."/>
      <w:lvlJc w:val="left"/>
      <w:pPr>
        <w:ind w:left="1080" w:hanging="360"/>
      </w:pPr>
      <w:rPr>
        <w:rFonts w:eastAsia="Times New Roman" w:hint="default"/>
        <w:b w:val="0"/>
        <w:u w:val="none"/>
      </w:rPr>
    </w:lvl>
    <w:lvl w:ilvl="1" w:tplc="408EFBE8" w:tentative="1">
      <w:start w:val="1"/>
      <w:numFmt w:val="lowerLetter"/>
      <w:lvlText w:val="%2."/>
      <w:lvlJc w:val="left"/>
      <w:pPr>
        <w:ind w:left="1440" w:hanging="360"/>
      </w:pPr>
    </w:lvl>
    <w:lvl w:ilvl="2" w:tplc="ABBA7FC6" w:tentative="1">
      <w:start w:val="1"/>
      <w:numFmt w:val="lowerRoman"/>
      <w:lvlText w:val="%3."/>
      <w:lvlJc w:val="right"/>
      <w:pPr>
        <w:ind w:left="2160" w:hanging="180"/>
      </w:pPr>
    </w:lvl>
    <w:lvl w:ilvl="3" w:tplc="3842CF78" w:tentative="1">
      <w:start w:val="1"/>
      <w:numFmt w:val="decimal"/>
      <w:lvlText w:val="%4."/>
      <w:lvlJc w:val="left"/>
      <w:pPr>
        <w:ind w:left="2880" w:hanging="360"/>
      </w:pPr>
    </w:lvl>
    <w:lvl w:ilvl="4" w:tplc="DA80DCC6" w:tentative="1">
      <w:start w:val="1"/>
      <w:numFmt w:val="lowerLetter"/>
      <w:lvlText w:val="%5."/>
      <w:lvlJc w:val="left"/>
      <w:pPr>
        <w:ind w:left="3600" w:hanging="360"/>
      </w:pPr>
    </w:lvl>
    <w:lvl w:ilvl="5" w:tplc="113A3796" w:tentative="1">
      <w:start w:val="1"/>
      <w:numFmt w:val="lowerRoman"/>
      <w:lvlText w:val="%6."/>
      <w:lvlJc w:val="right"/>
      <w:pPr>
        <w:ind w:left="4320" w:hanging="180"/>
      </w:pPr>
    </w:lvl>
    <w:lvl w:ilvl="6" w:tplc="C1208D52" w:tentative="1">
      <w:start w:val="1"/>
      <w:numFmt w:val="decimal"/>
      <w:lvlText w:val="%7."/>
      <w:lvlJc w:val="left"/>
      <w:pPr>
        <w:ind w:left="5040" w:hanging="360"/>
      </w:pPr>
    </w:lvl>
    <w:lvl w:ilvl="7" w:tplc="11A4176A" w:tentative="1">
      <w:start w:val="1"/>
      <w:numFmt w:val="lowerLetter"/>
      <w:lvlText w:val="%8."/>
      <w:lvlJc w:val="left"/>
      <w:pPr>
        <w:ind w:left="5760" w:hanging="360"/>
      </w:pPr>
    </w:lvl>
    <w:lvl w:ilvl="8" w:tplc="828A7320" w:tentative="1">
      <w:start w:val="1"/>
      <w:numFmt w:val="lowerRoman"/>
      <w:lvlText w:val="%9."/>
      <w:lvlJc w:val="right"/>
      <w:pPr>
        <w:ind w:left="6480" w:hanging="180"/>
      </w:pPr>
    </w:lvl>
  </w:abstractNum>
  <w:abstractNum w:abstractNumId="3" w15:restartNumberingAfterBreak="0">
    <w:nsid w:val="3DBA44DD"/>
    <w:multiLevelType w:val="hybridMultilevel"/>
    <w:tmpl w:val="4E0CB95E"/>
    <w:lvl w:ilvl="0" w:tplc="CC2E7DA6">
      <w:start w:val="1"/>
      <w:numFmt w:val="decimal"/>
      <w:lvlText w:val="%1."/>
      <w:lvlJc w:val="left"/>
      <w:pPr>
        <w:ind w:left="2160" w:hanging="1440"/>
      </w:pPr>
      <w:rPr>
        <w:rFonts w:hint="default"/>
        <w:b w:val="0"/>
        <w:u w:val="none"/>
      </w:rPr>
    </w:lvl>
    <w:lvl w:ilvl="1" w:tplc="E614161E" w:tentative="1">
      <w:start w:val="1"/>
      <w:numFmt w:val="lowerLetter"/>
      <w:lvlText w:val="%2."/>
      <w:lvlJc w:val="left"/>
      <w:pPr>
        <w:ind w:left="1800" w:hanging="360"/>
      </w:pPr>
    </w:lvl>
    <w:lvl w:ilvl="2" w:tplc="C3F0802E" w:tentative="1">
      <w:start w:val="1"/>
      <w:numFmt w:val="lowerRoman"/>
      <w:lvlText w:val="%3."/>
      <w:lvlJc w:val="right"/>
      <w:pPr>
        <w:ind w:left="2520" w:hanging="180"/>
      </w:pPr>
    </w:lvl>
    <w:lvl w:ilvl="3" w:tplc="DD660DAE" w:tentative="1">
      <w:start w:val="1"/>
      <w:numFmt w:val="decimal"/>
      <w:lvlText w:val="%4."/>
      <w:lvlJc w:val="left"/>
      <w:pPr>
        <w:ind w:left="3240" w:hanging="360"/>
      </w:pPr>
    </w:lvl>
    <w:lvl w:ilvl="4" w:tplc="0D1E76A0" w:tentative="1">
      <w:start w:val="1"/>
      <w:numFmt w:val="lowerLetter"/>
      <w:lvlText w:val="%5."/>
      <w:lvlJc w:val="left"/>
      <w:pPr>
        <w:ind w:left="3960" w:hanging="360"/>
      </w:pPr>
    </w:lvl>
    <w:lvl w:ilvl="5" w:tplc="50C29186" w:tentative="1">
      <w:start w:val="1"/>
      <w:numFmt w:val="lowerRoman"/>
      <w:lvlText w:val="%6."/>
      <w:lvlJc w:val="right"/>
      <w:pPr>
        <w:ind w:left="4680" w:hanging="180"/>
      </w:pPr>
    </w:lvl>
    <w:lvl w:ilvl="6" w:tplc="44EEDF28" w:tentative="1">
      <w:start w:val="1"/>
      <w:numFmt w:val="decimal"/>
      <w:lvlText w:val="%7."/>
      <w:lvlJc w:val="left"/>
      <w:pPr>
        <w:ind w:left="5400" w:hanging="360"/>
      </w:pPr>
    </w:lvl>
    <w:lvl w:ilvl="7" w:tplc="BC6C205E" w:tentative="1">
      <w:start w:val="1"/>
      <w:numFmt w:val="lowerLetter"/>
      <w:lvlText w:val="%8."/>
      <w:lvlJc w:val="left"/>
      <w:pPr>
        <w:ind w:left="6120" w:hanging="360"/>
      </w:pPr>
    </w:lvl>
    <w:lvl w:ilvl="8" w:tplc="4266CBF6" w:tentative="1">
      <w:start w:val="1"/>
      <w:numFmt w:val="lowerRoman"/>
      <w:lvlText w:val="%9."/>
      <w:lvlJc w:val="right"/>
      <w:pPr>
        <w:ind w:left="6840" w:hanging="180"/>
      </w:pPr>
    </w:lvl>
  </w:abstractNum>
  <w:abstractNum w:abstractNumId="4" w15:restartNumberingAfterBreak="0">
    <w:nsid w:val="4E833772"/>
    <w:multiLevelType w:val="hybridMultilevel"/>
    <w:tmpl w:val="026C4446"/>
    <w:lvl w:ilvl="0" w:tplc="FFFFFFFF">
      <w:start w:val="1"/>
      <w:numFmt w:val="decimal"/>
      <w:lvlText w:val="%1."/>
      <w:lvlJc w:val="left"/>
      <w:pPr>
        <w:ind w:left="720" w:hanging="360"/>
      </w:pPr>
      <w:rPr>
        <w:b w:val="0"/>
        <w:bCs/>
        <w:sz w:val="24"/>
        <w:szCs w:val="24"/>
      </w:rPr>
    </w:lvl>
    <w:lvl w:ilvl="1" w:tplc="FFFFFFFF">
      <w:start w:val="1"/>
      <w:numFmt w:val="decimal"/>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9600498"/>
    <w:multiLevelType w:val="hybridMultilevel"/>
    <w:tmpl w:val="DB1C7568"/>
    <w:lvl w:ilvl="0" w:tplc="E5023202">
      <w:start w:val="1"/>
      <w:numFmt w:val="decimal"/>
      <w:lvlText w:val="%1."/>
      <w:lvlJc w:val="left"/>
      <w:pPr>
        <w:ind w:left="2160" w:hanging="1440"/>
      </w:pPr>
      <w:rPr>
        <w:rFonts w:hint="default"/>
        <w:b w:val="0"/>
        <w:u w:val="none"/>
      </w:rPr>
    </w:lvl>
    <w:lvl w:ilvl="1" w:tplc="E3F009CA" w:tentative="1">
      <w:start w:val="1"/>
      <w:numFmt w:val="lowerLetter"/>
      <w:lvlText w:val="%2."/>
      <w:lvlJc w:val="left"/>
      <w:pPr>
        <w:ind w:left="1800" w:hanging="360"/>
      </w:pPr>
    </w:lvl>
    <w:lvl w:ilvl="2" w:tplc="CCA6725A" w:tentative="1">
      <w:start w:val="1"/>
      <w:numFmt w:val="lowerRoman"/>
      <w:lvlText w:val="%3."/>
      <w:lvlJc w:val="right"/>
      <w:pPr>
        <w:ind w:left="2520" w:hanging="180"/>
      </w:pPr>
    </w:lvl>
    <w:lvl w:ilvl="3" w:tplc="807EF5BA" w:tentative="1">
      <w:start w:val="1"/>
      <w:numFmt w:val="decimal"/>
      <w:lvlText w:val="%4."/>
      <w:lvlJc w:val="left"/>
      <w:pPr>
        <w:ind w:left="3240" w:hanging="360"/>
      </w:pPr>
    </w:lvl>
    <w:lvl w:ilvl="4" w:tplc="7C58B0E4" w:tentative="1">
      <w:start w:val="1"/>
      <w:numFmt w:val="lowerLetter"/>
      <w:lvlText w:val="%5."/>
      <w:lvlJc w:val="left"/>
      <w:pPr>
        <w:ind w:left="3960" w:hanging="360"/>
      </w:pPr>
    </w:lvl>
    <w:lvl w:ilvl="5" w:tplc="A5124C12" w:tentative="1">
      <w:start w:val="1"/>
      <w:numFmt w:val="lowerRoman"/>
      <w:lvlText w:val="%6."/>
      <w:lvlJc w:val="right"/>
      <w:pPr>
        <w:ind w:left="4680" w:hanging="180"/>
      </w:pPr>
    </w:lvl>
    <w:lvl w:ilvl="6" w:tplc="E03E38C0" w:tentative="1">
      <w:start w:val="1"/>
      <w:numFmt w:val="decimal"/>
      <w:lvlText w:val="%7."/>
      <w:lvlJc w:val="left"/>
      <w:pPr>
        <w:ind w:left="5400" w:hanging="360"/>
      </w:pPr>
    </w:lvl>
    <w:lvl w:ilvl="7" w:tplc="B0B2364A" w:tentative="1">
      <w:start w:val="1"/>
      <w:numFmt w:val="lowerLetter"/>
      <w:lvlText w:val="%8."/>
      <w:lvlJc w:val="left"/>
      <w:pPr>
        <w:ind w:left="6120" w:hanging="360"/>
      </w:pPr>
    </w:lvl>
    <w:lvl w:ilvl="8" w:tplc="42E0D8FA" w:tentative="1">
      <w:start w:val="1"/>
      <w:numFmt w:val="lowerRoman"/>
      <w:lvlText w:val="%9."/>
      <w:lvlJc w:val="right"/>
      <w:pPr>
        <w:ind w:left="6840" w:hanging="180"/>
      </w:pPr>
    </w:lvl>
  </w:abstractNum>
  <w:abstractNum w:abstractNumId="6" w15:restartNumberingAfterBreak="0">
    <w:nsid w:val="68803525"/>
    <w:multiLevelType w:val="hybridMultilevel"/>
    <w:tmpl w:val="29BA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25042"/>
    <w:multiLevelType w:val="hybridMultilevel"/>
    <w:tmpl w:val="12A80A8A"/>
    <w:lvl w:ilvl="0" w:tplc="BA1AF47A">
      <w:start w:val="1"/>
      <w:numFmt w:val="upperLetter"/>
      <w:lvlText w:val="%1."/>
      <w:lvlJc w:val="left"/>
      <w:pPr>
        <w:ind w:left="720" w:hanging="360"/>
      </w:pPr>
    </w:lvl>
    <w:lvl w:ilvl="1" w:tplc="FA38CEB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3018772">
    <w:abstractNumId w:val="5"/>
  </w:num>
  <w:num w:numId="2" w16cid:durableId="1773427712">
    <w:abstractNumId w:val="2"/>
  </w:num>
  <w:num w:numId="3" w16cid:durableId="113251330">
    <w:abstractNumId w:val="1"/>
  </w:num>
  <w:num w:numId="4" w16cid:durableId="1475368672">
    <w:abstractNumId w:val="3"/>
  </w:num>
  <w:num w:numId="5" w16cid:durableId="175924427">
    <w:abstractNumId w:val="6"/>
  </w:num>
  <w:num w:numId="6" w16cid:durableId="156113061">
    <w:abstractNumId w:val="7"/>
  </w:num>
  <w:num w:numId="7" w16cid:durableId="466705230">
    <w:abstractNumId w:val="4"/>
  </w:num>
  <w:num w:numId="8" w16cid:durableId="12316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513259"/>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 w:name="MatterNumber" w:val="1"/>
    <w:docVar w:name="NoDocID" w:val="True"/>
    <w:docVar w:name="SavedRange" w:val="0;0"/>
    <w:docVar w:name="SavedStatus" w:val="saved"/>
  </w:docVars>
  <w:rsids>
    <w:rsidRoot w:val="007A73FF"/>
    <w:rsid w:val="0001008B"/>
    <w:rsid w:val="000125AC"/>
    <w:rsid w:val="00017FDA"/>
    <w:rsid w:val="000B03E3"/>
    <w:rsid w:val="000C2CF9"/>
    <w:rsid w:val="000C76A0"/>
    <w:rsid w:val="001052E1"/>
    <w:rsid w:val="00114AC0"/>
    <w:rsid w:val="00117867"/>
    <w:rsid w:val="001234DB"/>
    <w:rsid w:val="00143DAF"/>
    <w:rsid w:val="00175E53"/>
    <w:rsid w:val="001A0089"/>
    <w:rsid w:val="001A240E"/>
    <w:rsid w:val="001B0F1A"/>
    <w:rsid w:val="001C6DBF"/>
    <w:rsid w:val="00217038"/>
    <w:rsid w:val="0022164B"/>
    <w:rsid w:val="00241D60"/>
    <w:rsid w:val="002438AB"/>
    <w:rsid w:val="002548A2"/>
    <w:rsid w:val="00254A17"/>
    <w:rsid w:val="00290BD7"/>
    <w:rsid w:val="00293F15"/>
    <w:rsid w:val="002B4664"/>
    <w:rsid w:val="002C0256"/>
    <w:rsid w:val="002D376A"/>
    <w:rsid w:val="00304C1E"/>
    <w:rsid w:val="00314B58"/>
    <w:rsid w:val="0033573B"/>
    <w:rsid w:val="00335E67"/>
    <w:rsid w:val="0035393A"/>
    <w:rsid w:val="00367CBD"/>
    <w:rsid w:val="00393A87"/>
    <w:rsid w:val="003C5C41"/>
    <w:rsid w:val="003D3DD5"/>
    <w:rsid w:val="003D5393"/>
    <w:rsid w:val="003D7AE7"/>
    <w:rsid w:val="003F31D8"/>
    <w:rsid w:val="004032F1"/>
    <w:rsid w:val="00403EB3"/>
    <w:rsid w:val="00406DC7"/>
    <w:rsid w:val="00412DD3"/>
    <w:rsid w:val="00415FEC"/>
    <w:rsid w:val="00432C93"/>
    <w:rsid w:val="00477C30"/>
    <w:rsid w:val="004B4CF9"/>
    <w:rsid w:val="004F2D7A"/>
    <w:rsid w:val="0050557D"/>
    <w:rsid w:val="005414EE"/>
    <w:rsid w:val="0054312A"/>
    <w:rsid w:val="00543B6E"/>
    <w:rsid w:val="00571310"/>
    <w:rsid w:val="00582E07"/>
    <w:rsid w:val="005A3CE7"/>
    <w:rsid w:val="005C2D63"/>
    <w:rsid w:val="005F209E"/>
    <w:rsid w:val="0061519D"/>
    <w:rsid w:val="00674101"/>
    <w:rsid w:val="006A79A5"/>
    <w:rsid w:val="006B0E75"/>
    <w:rsid w:val="006C6B2A"/>
    <w:rsid w:val="006D2769"/>
    <w:rsid w:val="006D3AC3"/>
    <w:rsid w:val="00703F1E"/>
    <w:rsid w:val="0072143D"/>
    <w:rsid w:val="00733A91"/>
    <w:rsid w:val="00735C6C"/>
    <w:rsid w:val="00747ED4"/>
    <w:rsid w:val="00756ACC"/>
    <w:rsid w:val="007A73FF"/>
    <w:rsid w:val="007F0DE6"/>
    <w:rsid w:val="007F2C3F"/>
    <w:rsid w:val="00817491"/>
    <w:rsid w:val="00836A8B"/>
    <w:rsid w:val="00846A44"/>
    <w:rsid w:val="0085707D"/>
    <w:rsid w:val="00874281"/>
    <w:rsid w:val="0088347C"/>
    <w:rsid w:val="008C7E32"/>
    <w:rsid w:val="008E7934"/>
    <w:rsid w:val="0090070F"/>
    <w:rsid w:val="00915583"/>
    <w:rsid w:val="009542B9"/>
    <w:rsid w:val="00956DAF"/>
    <w:rsid w:val="00984B1B"/>
    <w:rsid w:val="00985EF8"/>
    <w:rsid w:val="009A1587"/>
    <w:rsid w:val="009B2FB9"/>
    <w:rsid w:val="009C6DA8"/>
    <w:rsid w:val="009C6E2E"/>
    <w:rsid w:val="009D4941"/>
    <w:rsid w:val="009F5494"/>
    <w:rsid w:val="009F7A4F"/>
    <w:rsid w:val="00A8147D"/>
    <w:rsid w:val="00AC2F85"/>
    <w:rsid w:val="00AD3687"/>
    <w:rsid w:val="00AF2CCD"/>
    <w:rsid w:val="00B0123C"/>
    <w:rsid w:val="00B04AFC"/>
    <w:rsid w:val="00B17BDA"/>
    <w:rsid w:val="00BC2A10"/>
    <w:rsid w:val="00BD6AC7"/>
    <w:rsid w:val="00BE3BAC"/>
    <w:rsid w:val="00C102CB"/>
    <w:rsid w:val="00C14666"/>
    <w:rsid w:val="00C43C22"/>
    <w:rsid w:val="00C44A79"/>
    <w:rsid w:val="00C65ADB"/>
    <w:rsid w:val="00CA0C8D"/>
    <w:rsid w:val="00CA4781"/>
    <w:rsid w:val="00CB27F7"/>
    <w:rsid w:val="00CB3AB0"/>
    <w:rsid w:val="00CD6516"/>
    <w:rsid w:val="00CF2CC7"/>
    <w:rsid w:val="00CF7A2C"/>
    <w:rsid w:val="00D03548"/>
    <w:rsid w:val="00D07CE9"/>
    <w:rsid w:val="00D45058"/>
    <w:rsid w:val="00D6333C"/>
    <w:rsid w:val="00D63395"/>
    <w:rsid w:val="00D76BC5"/>
    <w:rsid w:val="00DB23E0"/>
    <w:rsid w:val="00DE5618"/>
    <w:rsid w:val="00E005C3"/>
    <w:rsid w:val="00E10D53"/>
    <w:rsid w:val="00E32812"/>
    <w:rsid w:val="00E64762"/>
    <w:rsid w:val="00E8434D"/>
    <w:rsid w:val="00E9763F"/>
    <w:rsid w:val="00EB7D36"/>
    <w:rsid w:val="00ED081D"/>
    <w:rsid w:val="00ED6418"/>
    <w:rsid w:val="00F37656"/>
    <w:rsid w:val="00F769DA"/>
    <w:rsid w:val="00F85DF4"/>
    <w:rsid w:val="00FB604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5696"/>
  <w15:docId w15:val="{4A562AC8-CED9-4A0A-9DFA-7E6864B5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eastAsia="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A79A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eastAsia="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Footer">
    <w:name w:val="footer"/>
    <w:basedOn w:val="Normal"/>
    <w:link w:val="FooterChar"/>
    <w:uiPriority w:val="99"/>
    <w:unhideWhenUsed/>
    <w:pPr>
      <w:tabs>
        <w:tab w:val="center" w:pos="4320"/>
        <w:tab w:val="right" w:pos="8640"/>
      </w:tabs>
      <w:spacing w:line="240" w:lineRule="auto"/>
    </w:pPr>
  </w:style>
  <w:style w:type="character" w:customStyle="1" w:styleId="FooterChar">
    <w:name w:val="Footer Char"/>
    <w:basedOn w:val="DefaultParagraphFont"/>
    <w:link w:val="Footer"/>
    <w:uiPriority w:val="99"/>
    <w:rPr>
      <w:rFonts w:eastAsia="Times New Roman" w:cs="Times New Roman"/>
    </w:rPr>
  </w:style>
  <w:style w:type="character" w:styleId="PageNumber">
    <w:name w:val="page number"/>
    <w:basedOn w:val="DefaultParagraphFont"/>
    <w:uiPriority w:val="99"/>
    <w:semiHidden/>
    <w:unhideWhenUsed/>
  </w:style>
  <w:style w:type="paragraph" w:customStyle="1" w:styleId="PleadingTitle">
    <w:name w:val="PleadingTitle"/>
    <w:basedOn w:val="Normal"/>
    <w:next w:val="Normal"/>
    <w:pPr>
      <w:suppressAutoHyphens/>
      <w:spacing w:line="240" w:lineRule="auto"/>
      <w:ind w:left="1440" w:hanging="1440"/>
    </w:pPr>
    <w:rPr>
      <w:szCs w:val="20"/>
    </w:rPr>
  </w:style>
  <w:style w:type="paragraph" w:customStyle="1" w:styleId="Cause">
    <w:name w:val="Cause#"/>
    <w:basedOn w:val="Normal"/>
    <w:next w:val="Normal"/>
    <w:rPr>
      <w:szCs w:val="20"/>
    </w:rPr>
  </w:style>
  <w:style w:type="paragraph" w:styleId="Header">
    <w:name w:val="header"/>
    <w:basedOn w:val="Normal"/>
    <w:link w:val="HeaderChar"/>
    <w:uiPriority w:val="99"/>
    <w:unhideWhenUsed/>
    <w:pPr>
      <w:tabs>
        <w:tab w:val="center" w:pos="4320"/>
        <w:tab w:val="right" w:pos="8640"/>
      </w:tabs>
      <w:spacing w:line="240" w:lineRule="auto"/>
    </w:pPr>
  </w:style>
  <w:style w:type="character" w:customStyle="1" w:styleId="HeaderChar">
    <w:name w:val="Header Char"/>
    <w:basedOn w:val="DefaultParagraphFont"/>
    <w:link w:val="Header"/>
    <w:uiPriority w:val="99"/>
    <w:rPr>
      <w:rFonts w:eastAsia="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MacPacTrailer">
    <w:name w:val="MacPac Trailer"/>
    <w:pPr>
      <w:widowControl w:val="0"/>
      <w:spacing w:line="200" w:lineRule="exact"/>
    </w:pPr>
    <w:rPr>
      <w:rFonts w:eastAsia="Times New Roman" w:cs="Times New Roman"/>
      <w:sz w:val="12"/>
      <w:szCs w:val="22"/>
    </w:rPr>
  </w:style>
  <w:style w:type="character" w:styleId="PlaceholderText">
    <w:name w:val="Placeholder Text"/>
    <w:basedOn w:val="DefaultParagraphFont"/>
    <w:uiPriority w:val="99"/>
    <w:semiHidden/>
    <w:rPr>
      <w:color w:val="808080"/>
    </w:rPr>
  </w:style>
  <w:style w:type="character" w:customStyle="1" w:styleId="DocID">
    <w:name w:val="DocID"/>
    <w:basedOn w:val="DefaultParagraphFont"/>
    <w:rsid w:val="003F31D8"/>
    <w:rPr>
      <w:rFonts w:ascii="Times New Roman" w:hAnsi="Times New Roman" w:cs="Times New Roman"/>
      <w:b w:val="0"/>
      <w:i w:val="0"/>
      <w:caps w:val="0"/>
      <w:vanish w:val="0"/>
      <w:color w:val="000000"/>
      <w:sz w:val="16"/>
      <w:u w:val="none"/>
    </w:rPr>
  </w:style>
  <w:style w:type="table" w:styleId="TableGrid">
    <w:name w:val="Table Grid"/>
    <w:basedOn w:val="TableNormal"/>
    <w:uiPriority w:val="39"/>
    <w:rsid w:val="00571310"/>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707D"/>
    <w:pPr>
      <w:widowControl w:val="0"/>
      <w:spacing w:line="480" w:lineRule="exact"/>
      <w:ind w:firstLine="720"/>
    </w:pPr>
    <w:rPr>
      <w:rFonts w:eastAsia="SimSun"/>
      <w:sz w:val="28"/>
      <w:szCs w:val="20"/>
    </w:rPr>
  </w:style>
  <w:style w:type="character" w:customStyle="1" w:styleId="BodyTextChar">
    <w:name w:val="Body Text Char"/>
    <w:basedOn w:val="DefaultParagraphFont"/>
    <w:link w:val="BodyText"/>
    <w:rsid w:val="0085707D"/>
    <w:rPr>
      <w:rFonts w:eastAsia="SimSun" w:cs="Times New Roman"/>
      <w:sz w:val="28"/>
      <w:szCs w:val="20"/>
    </w:rPr>
  </w:style>
  <w:style w:type="character" w:styleId="Hyperlink">
    <w:name w:val="Hyperlink"/>
    <w:basedOn w:val="DefaultParagraphFont"/>
    <w:uiPriority w:val="99"/>
    <w:unhideWhenUsed/>
    <w:rsid w:val="0085707D"/>
    <w:rPr>
      <w:color w:val="auto"/>
      <w:u w:val="none"/>
    </w:rPr>
  </w:style>
  <w:style w:type="character" w:customStyle="1" w:styleId="DeltaViewInsertion">
    <w:name w:val="DeltaView Insertion"/>
    <w:uiPriority w:val="99"/>
    <w:rsid w:val="0085707D"/>
    <w:rPr>
      <w:color w:val="auto"/>
      <w:u w:val="double"/>
    </w:rPr>
  </w:style>
  <w:style w:type="paragraph" w:customStyle="1" w:styleId="Body1Inch">
    <w:name w:val="Body 1 Inch"/>
    <w:basedOn w:val="Normal"/>
    <w:qFormat/>
    <w:rsid w:val="0085707D"/>
    <w:pPr>
      <w:widowControl w:val="0"/>
      <w:spacing w:before="240" w:after="240" w:line="240" w:lineRule="auto"/>
      <w:ind w:left="1440"/>
    </w:pPr>
    <w:rPr>
      <w:rFonts w:eastAsiaTheme="minorHAnsi"/>
      <w:sz w:val="28"/>
    </w:rPr>
  </w:style>
  <w:style w:type="character" w:customStyle="1" w:styleId="ListParagraphChar">
    <w:name w:val="List Paragraph Char"/>
    <w:basedOn w:val="DefaultParagraphFont"/>
    <w:link w:val="ListParagraph"/>
    <w:uiPriority w:val="34"/>
    <w:rsid w:val="00017FDA"/>
    <w:rPr>
      <w:rFonts w:eastAsia="Times New Roman" w:cs="Times New Roman"/>
    </w:rPr>
  </w:style>
  <w:style w:type="paragraph" w:customStyle="1" w:styleId="Heading310">
    <w:name w:val="Heading 3 (1.0)"/>
    <w:basedOn w:val="Heading3"/>
    <w:rsid w:val="006A79A5"/>
    <w:pPr>
      <w:keepNext w:val="0"/>
      <w:keepLines w:val="0"/>
      <w:numPr>
        <w:numId w:val="8"/>
      </w:numPr>
      <w:spacing w:before="0" w:line="480" w:lineRule="auto"/>
      <w:ind w:left="0" w:firstLine="1440"/>
    </w:pPr>
    <w:rPr>
      <w:rFonts w:ascii="Times New Roman" w:eastAsia="Times New Roman" w:hAnsi="Times New Roman" w:cs="Times New Roman"/>
      <w:bCs/>
      <w:color w:val="auto"/>
      <w:szCs w:val="26"/>
    </w:rPr>
  </w:style>
  <w:style w:type="character" w:customStyle="1" w:styleId="Heading3Char">
    <w:name w:val="Heading 3 Char"/>
    <w:basedOn w:val="DefaultParagraphFont"/>
    <w:link w:val="Heading3"/>
    <w:uiPriority w:val="9"/>
    <w:semiHidden/>
    <w:rsid w:val="006A79A5"/>
    <w:rPr>
      <w:rFonts w:asciiTheme="majorHAnsi" w:eastAsiaTheme="majorEastAsia" w:hAnsiTheme="majorHAnsi" w:cstheme="majorBidi"/>
      <w:color w:val="243F60" w:themeColor="accent1" w:themeShade="7F"/>
    </w:rPr>
  </w:style>
  <w:style w:type="paragraph" w:styleId="Revision">
    <w:name w:val="Revision"/>
    <w:hidden/>
    <w:uiPriority w:val="99"/>
    <w:semiHidden/>
    <w:rsid w:val="004F2D7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PFraietta</dc:creator>
  <cp:lastModifiedBy>Nowlin, Kelsey</cp:lastModifiedBy>
  <cp:revision>2</cp:revision>
  <cp:lastPrinted>2023-03-20T15:08:00Z</cp:lastPrinted>
  <dcterms:created xsi:type="dcterms:W3CDTF">2023-05-02T19:59:00Z</dcterms:created>
  <dcterms:modified xsi:type="dcterms:W3CDTF">2023-05-02T19:59:00Z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MSIP_Label_d4094080-551c-483b-80f9-fd0fa7da24e0_Enabled">
    <vt:lpwstr>true</vt:lpwstr>
  </property>
  <property fmtid="{D5CDD505-2E9C-101B-9397-08002B2CF9AE}" pid="4" name="MSIP_Label_d4094080-551c-483b-80f9-fd0fa7da24e0_SetDate">
    <vt:lpwstr>2023-05-02T19:59:26Z</vt:lpwstr>
  </property>
  <property fmtid="{D5CDD505-2E9C-101B-9397-08002B2CF9AE}" pid="5" name="MSIP_Label_d4094080-551c-483b-80f9-fd0fa7da24e0_Method">
    <vt:lpwstr>Standard</vt:lpwstr>
  </property>
  <property fmtid="{D5CDD505-2E9C-101B-9397-08002B2CF9AE}" pid="6" name="MSIP_Label_d4094080-551c-483b-80f9-fd0fa7da24e0_Name">
    <vt:lpwstr>Restricted</vt:lpwstr>
  </property>
  <property fmtid="{D5CDD505-2E9C-101B-9397-08002B2CF9AE}" pid="7" name="MSIP_Label_d4094080-551c-483b-80f9-fd0fa7da24e0_SiteId">
    <vt:lpwstr>781802be-916f-42df-a204-78a2b3144934</vt:lpwstr>
  </property>
  <property fmtid="{D5CDD505-2E9C-101B-9397-08002B2CF9AE}" pid="8" name="MSIP_Label_d4094080-551c-483b-80f9-fd0fa7da24e0_ActionId">
    <vt:lpwstr>d4ce3fb4-d51c-49c4-b335-08dff6bf529e</vt:lpwstr>
  </property>
  <property fmtid="{D5CDD505-2E9C-101B-9397-08002B2CF9AE}" pid="9" name="MSIP_Label_d4094080-551c-483b-80f9-fd0fa7da24e0_ContentBits">
    <vt:lpwstr>0</vt:lpwstr>
  </property>
</Properties>
</file>